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7FCC" w14:textId="419ED8B4" w:rsidR="00D45189" w:rsidRPr="00B6355A" w:rsidRDefault="00D45189" w:rsidP="00D45189">
      <w:pPr>
        <w:spacing w:before="240" w:after="240"/>
        <w:contextualSpacing/>
        <w:jc w:val="both"/>
        <w:outlineLvl w:val="0"/>
        <w:rPr>
          <w:rFonts w:asciiTheme="minorHAnsi" w:hAnsiTheme="minorHAnsi" w:cstheme="minorHAnsi"/>
          <w:b/>
          <w:bCs/>
          <w:noProof/>
          <w:sz w:val="22"/>
          <w:szCs w:val="22"/>
        </w:rPr>
      </w:pPr>
      <w:bookmarkStart w:id="0" w:name="_Toc187752804"/>
      <w:bookmarkStart w:id="1" w:name="_Toc187756318"/>
      <w:r w:rsidRPr="00B6355A">
        <w:rPr>
          <w:rFonts w:asciiTheme="minorHAnsi" w:hAnsiTheme="minorHAnsi" w:cstheme="minorHAnsi"/>
          <w:b/>
          <w:bCs/>
          <w:noProof/>
          <w:sz w:val="22"/>
          <w:szCs w:val="22"/>
        </w:rPr>
        <w:t xml:space="preserve">PRILOGA </w:t>
      </w:r>
      <w:r w:rsidR="00CD009B">
        <w:rPr>
          <w:rFonts w:asciiTheme="minorHAnsi" w:hAnsiTheme="minorHAnsi" w:cstheme="minorHAnsi"/>
          <w:b/>
          <w:bCs/>
          <w:noProof/>
          <w:sz w:val="22"/>
          <w:szCs w:val="22"/>
        </w:rPr>
        <w:t>2</w:t>
      </w:r>
      <w:r w:rsidRPr="00B6355A">
        <w:rPr>
          <w:rFonts w:asciiTheme="minorHAnsi" w:hAnsiTheme="minorHAnsi" w:cstheme="minorHAnsi"/>
          <w:b/>
          <w:bCs/>
          <w:noProof/>
          <w:sz w:val="22"/>
          <w:szCs w:val="22"/>
        </w:rPr>
        <w:t xml:space="preserve"> </w:t>
      </w:r>
      <w:r w:rsidRPr="00B6355A">
        <w:rPr>
          <w:rFonts w:asciiTheme="minorHAnsi" w:hAnsiTheme="minorHAnsi" w:cstheme="minorHAnsi"/>
          <w:noProof/>
          <w:sz w:val="22"/>
          <w:szCs w:val="22"/>
        </w:rPr>
        <w:t>Metodologija za opredelitev organizacije za raziskovanje in širjenje znanja</w:t>
      </w:r>
      <w:bookmarkEnd w:id="0"/>
      <w:bookmarkEnd w:id="1"/>
    </w:p>
    <w:p w14:paraId="211B9E3C" w14:textId="77777777" w:rsidR="00D45189" w:rsidRPr="00B6355A" w:rsidRDefault="00D45189" w:rsidP="00D45189">
      <w:pPr>
        <w:spacing w:after="160" w:line="259" w:lineRule="auto"/>
        <w:jc w:val="center"/>
        <w:rPr>
          <w:rFonts w:asciiTheme="minorHAnsi" w:eastAsiaTheme="minorHAnsi" w:hAnsiTheme="minorHAnsi" w:cstheme="minorHAnsi"/>
          <w:b/>
          <w:caps/>
          <w:sz w:val="22"/>
          <w:szCs w:val="22"/>
          <w:lang w:eastAsia="en-US"/>
        </w:rPr>
      </w:pPr>
    </w:p>
    <w:p w14:paraId="3B923791" w14:textId="77777777" w:rsidR="00D45189" w:rsidRPr="006C6318" w:rsidRDefault="00D45189" w:rsidP="006C6318">
      <w:pPr>
        <w:numPr>
          <w:ilvl w:val="0"/>
          <w:numId w:val="4"/>
        </w:numPr>
        <w:spacing w:after="160" w:line="276" w:lineRule="auto"/>
        <w:contextualSpacing/>
        <w:jc w:val="both"/>
        <w:rPr>
          <w:rFonts w:asciiTheme="minorHAnsi" w:hAnsiTheme="minorHAnsi" w:cstheme="minorHAnsi"/>
          <w:b/>
          <w:sz w:val="20"/>
          <w:szCs w:val="20"/>
          <w:lang w:eastAsia="en-US"/>
        </w:rPr>
      </w:pPr>
      <w:r w:rsidRPr="006C6318">
        <w:rPr>
          <w:rFonts w:asciiTheme="minorHAnsi" w:hAnsiTheme="minorHAnsi" w:cstheme="minorHAnsi"/>
          <w:b/>
          <w:sz w:val="20"/>
          <w:szCs w:val="20"/>
          <w:lang w:eastAsia="en-US"/>
        </w:rPr>
        <w:t>UVOD</w:t>
      </w:r>
    </w:p>
    <w:p w14:paraId="736A925C"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p>
    <w:p w14:paraId="5A7DC7B6"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b/>
          <w:bCs/>
          <w:sz w:val="20"/>
          <w:szCs w:val="20"/>
          <w:lang w:eastAsia="en-US"/>
        </w:rPr>
        <w:t>1. Namen metodologije</w:t>
      </w:r>
      <w:r w:rsidRPr="006C6318">
        <w:rPr>
          <w:rFonts w:asciiTheme="minorHAnsi" w:eastAsiaTheme="minorHAnsi" w:hAnsiTheme="minorHAnsi" w:cstheme="minorHAnsi"/>
          <w:sz w:val="20"/>
          <w:szCs w:val="20"/>
          <w:lang w:eastAsia="en-US"/>
        </w:rPr>
        <w:t xml:space="preserve"> za opredelitev organizacije za raziskovanje in širjenje znanja (v nadaljevanju: </w:t>
      </w:r>
      <w:r w:rsidRPr="006C6318">
        <w:rPr>
          <w:rFonts w:asciiTheme="minorHAnsi" w:eastAsiaTheme="minorHAnsi" w:hAnsiTheme="minorHAnsi" w:cstheme="minorHAnsi"/>
          <w:b/>
          <w:sz w:val="20"/>
          <w:szCs w:val="20"/>
          <w:lang w:eastAsia="en-US"/>
        </w:rPr>
        <w:t>Metodologija</w:t>
      </w:r>
      <w:r w:rsidRPr="006C6318">
        <w:rPr>
          <w:rFonts w:asciiTheme="minorHAnsi" w:eastAsiaTheme="minorHAnsi" w:hAnsiTheme="minorHAnsi" w:cstheme="minorHAnsi"/>
          <w:sz w:val="20"/>
          <w:szCs w:val="20"/>
          <w:lang w:eastAsia="en-US"/>
        </w:rPr>
        <w:t xml:space="preserve">) je določiti postopek preverjanja skladnosti organizacije za raziskave in širjenje znanja (v nadaljevanju </w:t>
      </w:r>
      <w:bookmarkStart w:id="2" w:name="_Hlk185347929"/>
      <w:r w:rsidRPr="006C6318">
        <w:rPr>
          <w:rFonts w:asciiTheme="minorHAnsi" w:eastAsiaTheme="minorHAnsi" w:hAnsiTheme="minorHAnsi" w:cstheme="minorHAnsi"/>
          <w:sz w:val="20"/>
          <w:szCs w:val="20"/>
          <w:lang w:eastAsia="en-US"/>
        </w:rPr>
        <w:t xml:space="preserve">te priloge: </w:t>
      </w:r>
      <w:bookmarkEnd w:id="2"/>
      <w:r w:rsidRPr="006C6318">
        <w:rPr>
          <w:rFonts w:asciiTheme="minorHAnsi" w:eastAsiaTheme="minorHAnsi" w:hAnsiTheme="minorHAnsi" w:cstheme="minorHAnsi"/>
          <w:b/>
          <w:sz w:val="20"/>
          <w:szCs w:val="20"/>
          <w:lang w:eastAsia="en-US"/>
        </w:rPr>
        <w:t>organizacija za raziskovanje in širjenje znanja</w:t>
      </w:r>
      <w:r w:rsidRPr="006C6318">
        <w:rPr>
          <w:rFonts w:asciiTheme="minorHAnsi" w:eastAsiaTheme="minorHAnsi" w:hAnsiTheme="minorHAnsi" w:cstheme="minorHAnsi"/>
          <w:sz w:val="20"/>
          <w:szCs w:val="20"/>
          <w:lang w:eastAsia="en-US"/>
        </w:rPr>
        <w:t>) v skladu z Uredbo Komisije (EU) št. 651/2014 z dne 17. junija 2014 o razglasitvi nekaterih vrst pomoči za združljive z notranjim trgom pri uporabi členov 107 in 108 Pogodbe (besedilo velja za EGP)</w:t>
      </w:r>
      <w:r w:rsidRPr="006C6318">
        <w:rPr>
          <w:rFonts w:asciiTheme="minorHAnsi" w:eastAsiaTheme="minorHAnsi" w:hAnsiTheme="minorHAnsi" w:cstheme="minorHAnsi"/>
          <w:sz w:val="20"/>
          <w:szCs w:val="20"/>
          <w:vertAlign w:val="superscript"/>
          <w:lang w:eastAsia="en-US"/>
        </w:rPr>
        <w:footnoteReference w:id="1"/>
      </w:r>
      <w:r w:rsidRPr="006C6318">
        <w:rPr>
          <w:rFonts w:asciiTheme="minorHAnsi" w:eastAsiaTheme="minorHAnsi" w:hAnsiTheme="minorHAnsi" w:cstheme="minorHAnsi"/>
          <w:sz w:val="20"/>
          <w:szCs w:val="20"/>
          <w:lang w:eastAsia="en-US"/>
        </w:rPr>
        <w:t xml:space="preserve"> (v nadaljevanju</w:t>
      </w:r>
      <w:r w:rsidRPr="00B6355A">
        <w:rPr>
          <w:rFonts w:asciiTheme="minorHAnsi" w:hAnsiTheme="minorHAnsi" w:cstheme="minorHAnsi"/>
          <w:sz w:val="20"/>
          <w:szCs w:val="20"/>
        </w:rPr>
        <w:t xml:space="preserve"> </w:t>
      </w:r>
      <w:r w:rsidRPr="006C6318">
        <w:rPr>
          <w:rFonts w:asciiTheme="minorHAnsi" w:eastAsiaTheme="minorHAnsi" w:hAnsiTheme="minorHAnsi" w:cstheme="minorHAnsi"/>
          <w:sz w:val="20"/>
          <w:szCs w:val="20"/>
          <w:lang w:eastAsia="en-US"/>
        </w:rPr>
        <w:t xml:space="preserve">te priloge:: </w:t>
      </w:r>
      <w:r w:rsidRPr="006C6318">
        <w:rPr>
          <w:rFonts w:asciiTheme="minorHAnsi" w:eastAsiaTheme="minorHAnsi" w:hAnsiTheme="minorHAnsi" w:cstheme="minorHAnsi"/>
          <w:b/>
          <w:sz w:val="20"/>
          <w:szCs w:val="20"/>
          <w:lang w:eastAsia="en-US"/>
        </w:rPr>
        <w:t>Uredba</w:t>
      </w:r>
      <w:r w:rsidRPr="006C6318">
        <w:rPr>
          <w:rFonts w:asciiTheme="minorHAnsi" w:eastAsiaTheme="minorHAnsi" w:hAnsiTheme="minorHAnsi" w:cstheme="minorHAnsi"/>
          <w:sz w:val="20"/>
          <w:szCs w:val="20"/>
          <w:lang w:eastAsia="en-US"/>
        </w:rPr>
        <w:t xml:space="preserve">), kot je določeno v točki 83 drugega (2) člena, da </w:t>
      </w:r>
      <w:r w:rsidRPr="006C6318">
        <w:rPr>
          <w:rFonts w:asciiTheme="minorHAnsi" w:eastAsiaTheme="minorHAnsi" w:hAnsiTheme="minorHAnsi" w:cstheme="minorHAnsi"/>
          <w:i/>
          <w:sz w:val="20"/>
          <w:szCs w:val="20"/>
          <w:lang w:eastAsia="en-US"/>
        </w:rPr>
        <w:t>„organizacija za raziskovanje in širjenje znanja“ pomeni subjekt (kot so univerze ali raziskovalni inštituti, agencije za prenos tehnologije, posredniki za inovacije ali v raziskave usmerjeni fizični ali virtualni skupni subjekti), ne glede na njegov pravni status (organiziran po javnem ali zasebnem pravu) ali način financiranja, katerega glavni cilj je neodvisna izvedba temeljnih raziskav, industrijskih raziskav ali eksperimentalnega razvoja ali obsežno razširjanje rezultatov teh dejavnosti prek izobraževanja, objav ali prenosa znanja. Kadar tak subjekt opravlja tudi gospodarske dejavnosti, je treba financiranje, stroške in prihodke navedenih gospodarskih dejavnosti knjižiti ločeno. Podjetja, ki imajo lahko odločilen vpliv na tak subjekt, npr. v vlogi delničarjev ali članov, nimajo prednostnega dostopa do rezultatov raziskav, ki jih je subjekt izvedel</w:t>
      </w:r>
      <w:r w:rsidRPr="006C6318">
        <w:rPr>
          <w:rFonts w:asciiTheme="minorHAnsi" w:eastAsiaTheme="minorHAnsi" w:hAnsiTheme="minorHAnsi" w:cstheme="minorHAnsi"/>
          <w:sz w:val="20"/>
          <w:szCs w:val="20"/>
          <w:lang w:eastAsia="en-US"/>
        </w:rPr>
        <w:t xml:space="preserve"> (v nadaljevanju</w:t>
      </w:r>
      <w:r w:rsidRPr="00B6355A">
        <w:rPr>
          <w:rFonts w:asciiTheme="minorHAnsi" w:hAnsiTheme="minorHAnsi" w:cstheme="minorHAnsi"/>
          <w:sz w:val="20"/>
          <w:szCs w:val="20"/>
        </w:rPr>
        <w:t xml:space="preserve"> </w:t>
      </w:r>
      <w:r w:rsidRPr="006C6318">
        <w:rPr>
          <w:rFonts w:asciiTheme="minorHAnsi" w:eastAsiaTheme="minorHAnsi" w:hAnsiTheme="minorHAnsi" w:cstheme="minorHAnsi"/>
          <w:sz w:val="20"/>
          <w:szCs w:val="20"/>
          <w:lang w:eastAsia="en-US"/>
        </w:rPr>
        <w:t xml:space="preserve">te priloge:: </w:t>
      </w:r>
      <w:r w:rsidRPr="006C6318">
        <w:rPr>
          <w:rFonts w:asciiTheme="minorHAnsi" w:eastAsiaTheme="minorHAnsi" w:hAnsiTheme="minorHAnsi" w:cstheme="minorHAnsi"/>
          <w:b/>
          <w:sz w:val="20"/>
          <w:szCs w:val="20"/>
          <w:lang w:eastAsia="en-US"/>
        </w:rPr>
        <w:t>Definicija organizacije za raziskovanje in širjenje znanja</w:t>
      </w:r>
      <w:r w:rsidRPr="006C6318">
        <w:rPr>
          <w:rFonts w:asciiTheme="minorHAnsi" w:eastAsiaTheme="minorHAnsi" w:hAnsiTheme="minorHAnsi" w:cstheme="minorHAnsi"/>
          <w:sz w:val="20"/>
          <w:szCs w:val="20"/>
          <w:lang w:eastAsia="en-US"/>
        </w:rPr>
        <w:t>).</w:t>
      </w:r>
    </w:p>
    <w:p w14:paraId="2663675D" w14:textId="77777777" w:rsidR="00D45189" w:rsidRPr="006C6318" w:rsidRDefault="00D45189" w:rsidP="006C6318">
      <w:pPr>
        <w:spacing w:after="160" w:line="276" w:lineRule="auto"/>
        <w:jc w:val="both"/>
        <w:rPr>
          <w:rFonts w:asciiTheme="minorHAnsi" w:eastAsiaTheme="minorHAnsi" w:hAnsiTheme="minorHAnsi" w:cstheme="minorHAnsi"/>
          <w:b/>
          <w:sz w:val="20"/>
          <w:szCs w:val="20"/>
          <w:lang w:eastAsia="en-US"/>
        </w:rPr>
      </w:pPr>
      <w:r w:rsidRPr="006C6318">
        <w:rPr>
          <w:rFonts w:asciiTheme="minorHAnsi" w:eastAsiaTheme="minorHAnsi" w:hAnsiTheme="minorHAnsi" w:cstheme="minorHAnsi"/>
          <w:b/>
          <w:sz w:val="20"/>
          <w:szCs w:val="20"/>
          <w:lang w:eastAsia="en-US"/>
        </w:rPr>
        <w:t>2. Metodologija vključuje tudi naslednje definicije:</w:t>
      </w:r>
    </w:p>
    <w:p w14:paraId="4E8110E2"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2.1 „temeljna raziskava“ pomeni eksperimentalno ali teoretično delo, ki se izvaja predvsem zaradi pridobivanja novega znanja o temeljnih principih pojavov in opazovanih dejstev, ne da bi bilo neposredno usmerjeno v tržno uporabo (točka 84 drugega (2) člena Uredbe);</w:t>
      </w:r>
    </w:p>
    <w:p w14:paraId="48718D7C" w14:textId="77777777" w:rsidR="00D45189" w:rsidRPr="006C6318" w:rsidRDefault="00D45189" w:rsidP="006C6318">
      <w:pPr>
        <w:spacing w:after="160" w:line="276" w:lineRule="auto"/>
        <w:jc w:val="both"/>
        <w:rPr>
          <w:rFonts w:asciiTheme="minorHAnsi" w:eastAsiaTheme="minorHAnsi" w:hAnsiTheme="minorHAnsi" w:cstheme="minorHAnsi"/>
          <w:color w:val="000000"/>
          <w:sz w:val="20"/>
          <w:szCs w:val="20"/>
          <w:shd w:val="clear" w:color="auto" w:fill="FFFFFF"/>
          <w:lang w:eastAsia="en-US"/>
        </w:rPr>
      </w:pPr>
      <w:r w:rsidRPr="006C6318">
        <w:rPr>
          <w:rFonts w:asciiTheme="minorHAnsi" w:eastAsiaTheme="minorHAnsi" w:hAnsiTheme="minorHAnsi" w:cstheme="minorHAnsi"/>
          <w:color w:val="000000"/>
          <w:sz w:val="20"/>
          <w:szCs w:val="20"/>
          <w:shd w:val="clear" w:color="auto" w:fill="FFFFFF"/>
          <w:lang w:eastAsia="en-US"/>
        </w:rPr>
        <w:t xml:space="preserve">2.2 „industrijska raziskava“ pomeni načrtovano raziskavo ali kritično preiskavo, katere namen je pridobivanje novega znanja in spretnosti za razvoj novih proizvodov, procesov ali storitev ali za znatno izboljšanje obstoječih proizvodov, procesov ali storitev. Vključuje oblikovanje komponent kompleksnih sistemov in lahko zajema izdelavo prototipov v laboratorijskem okolju ali okolju s simuliranimi vmesniki obstoječih sistemov ter pilotnih linij, kadar je to potrebno za industrijske raziskave, zlasti za vrednotenje generične tehnologije (točka 85 </w:t>
      </w:r>
      <w:r w:rsidRPr="006C6318">
        <w:rPr>
          <w:rFonts w:asciiTheme="minorHAnsi" w:eastAsiaTheme="minorHAnsi" w:hAnsiTheme="minorHAnsi" w:cstheme="minorHAnsi"/>
          <w:sz w:val="20"/>
          <w:szCs w:val="20"/>
          <w:lang w:eastAsia="en-US"/>
        </w:rPr>
        <w:t xml:space="preserve">drugega (2) </w:t>
      </w:r>
      <w:r w:rsidRPr="006C6318">
        <w:rPr>
          <w:rFonts w:asciiTheme="minorHAnsi" w:eastAsiaTheme="minorHAnsi" w:hAnsiTheme="minorHAnsi" w:cstheme="minorHAnsi"/>
          <w:color w:val="000000"/>
          <w:sz w:val="20"/>
          <w:szCs w:val="20"/>
          <w:shd w:val="clear" w:color="auto" w:fill="FFFFFF"/>
          <w:lang w:eastAsia="en-US"/>
        </w:rPr>
        <w:t>člena Uredbe);</w:t>
      </w:r>
    </w:p>
    <w:p w14:paraId="474DB0A7" w14:textId="77777777" w:rsidR="00D45189" w:rsidRPr="006C6318" w:rsidRDefault="00D45189" w:rsidP="006C6318">
      <w:pPr>
        <w:spacing w:after="160" w:line="276" w:lineRule="auto"/>
        <w:jc w:val="both"/>
        <w:rPr>
          <w:rFonts w:asciiTheme="minorHAnsi" w:eastAsiaTheme="minorHAnsi" w:hAnsiTheme="minorHAnsi" w:cstheme="minorHAnsi"/>
          <w:color w:val="000000"/>
          <w:sz w:val="20"/>
          <w:szCs w:val="20"/>
          <w:shd w:val="clear" w:color="auto" w:fill="FFFFFF"/>
          <w:lang w:eastAsia="en-US"/>
        </w:rPr>
      </w:pPr>
      <w:r w:rsidRPr="006C6318">
        <w:rPr>
          <w:rFonts w:asciiTheme="minorHAnsi" w:eastAsiaTheme="minorHAnsi" w:hAnsiTheme="minorHAnsi" w:cstheme="minorHAnsi"/>
          <w:sz w:val="20"/>
          <w:szCs w:val="20"/>
          <w:lang w:eastAsia="en-US"/>
        </w:rPr>
        <w:t xml:space="preserve">2.3 </w:t>
      </w:r>
      <w:r w:rsidRPr="006C6318">
        <w:rPr>
          <w:rFonts w:asciiTheme="minorHAnsi" w:eastAsiaTheme="minorHAnsi" w:hAnsiTheme="minorHAnsi" w:cstheme="minorHAnsi"/>
          <w:color w:val="000000"/>
          <w:sz w:val="20"/>
          <w:szCs w:val="20"/>
          <w:shd w:val="clear" w:color="auto" w:fill="FFFFFF"/>
          <w:lang w:eastAsia="en-US"/>
        </w:rPr>
        <w:t>„eksperimentalni razvoj“ pomeni pridobivanje, združevanje, oblikovanje in uporabo obstoječega znanstvenega, tehnološkega, poslovnega in drugega ustreznega znanja in spretnosti, katerih cilj je razvoj novih ali izboljšanih proizvodov, procesov ali storitev. Ti lahko vključujejo npr. tudi dejavnosti, usmerjene v konceptualne opredelitve, načrtovanje in dokumentacijo novih proizvodov, procesov ali storitev.</w:t>
      </w:r>
    </w:p>
    <w:p w14:paraId="0A7ED202" w14:textId="77777777" w:rsidR="00D45189" w:rsidRPr="006C6318" w:rsidRDefault="00D45189" w:rsidP="006C6318">
      <w:pPr>
        <w:spacing w:after="160" w:line="276" w:lineRule="auto"/>
        <w:jc w:val="both"/>
        <w:rPr>
          <w:rFonts w:asciiTheme="minorHAnsi" w:eastAsiaTheme="minorHAnsi" w:hAnsiTheme="minorHAnsi" w:cstheme="minorHAnsi"/>
          <w:color w:val="000000"/>
          <w:sz w:val="20"/>
          <w:szCs w:val="20"/>
          <w:shd w:val="clear" w:color="auto" w:fill="FFFFFF"/>
          <w:lang w:eastAsia="en-US"/>
        </w:rPr>
      </w:pPr>
      <w:r w:rsidRPr="006C6318">
        <w:rPr>
          <w:rFonts w:asciiTheme="minorHAnsi" w:eastAsiaTheme="minorHAnsi" w:hAnsiTheme="minorHAnsi" w:cstheme="minorHAnsi"/>
          <w:color w:val="000000"/>
          <w:sz w:val="20"/>
          <w:szCs w:val="20"/>
          <w:shd w:val="clear" w:color="auto" w:fill="FFFFFF"/>
          <w:lang w:eastAsia="en-US"/>
        </w:rPr>
        <w:t>Eksperimentalni razvoj lahko vključuje izdelavo prototipov, predstavitve, pilotne projekte, preskušanje in potrjevanje novih ali izboljšanih proizvodov, procesov ali storitev v okoljih, ki so tipični za vsakdanje pogoje obratovanja, kadar je osnovni cilj nadalje tehnično izboljšati proizvode, procese ali storitve, ki niso v veliki meri ustaljeni. To lahko vključuje razvoj prototipa ali pilotnega projekta za tržno uporabo, ki je obvezno končni tržni izdelek in je predrag, da bi ga izdelali samo za namene predstavitve in potrjevanja.</w:t>
      </w:r>
    </w:p>
    <w:p w14:paraId="3E4B5A50" w14:textId="77777777" w:rsidR="00D45189" w:rsidRPr="006C6318" w:rsidRDefault="00D45189" w:rsidP="006C6318">
      <w:pPr>
        <w:spacing w:after="160" w:line="276" w:lineRule="auto"/>
        <w:jc w:val="both"/>
        <w:rPr>
          <w:rFonts w:asciiTheme="minorHAnsi" w:eastAsiaTheme="minorHAnsi" w:hAnsiTheme="minorHAnsi" w:cstheme="minorHAnsi"/>
          <w:color w:val="000000"/>
          <w:sz w:val="20"/>
          <w:szCs w:val="20"/>
          <w:shd w:val="clear" w:color="auto" w:fill="FFFFFF"/>
          <w:lang w:eastAsia="en-US"/>
        </w:rPr>
      </w:pPr>
      <w:r w:rsidRPr="006C6318">
        <w:rPr>
          <w:rFonts w:asciiTheme="minorHAnsi" w:eastAsiaTheme="minorHAnsi" w:hAnsiTheme="minorHAnsi" w:cstheme="minorHAnsi"/>
          <w:color w:val="000000"/>
          <w:sz w:val="20"/>
          <w:szCs w:val="20"/>
          <w:shd w:val="clear" w:color="auto" w:fill="FFFFFF"/>
          <w:lang w:eastAsia="en-US"/>
        </w:rPr>
        <w:t>Eksperimentalni razvoj ne vključuje rednih ali občasnih sprememb obstoječega proizvoda, proizvodnih linij, proizvodnih procesov, storitev in drugih tekočih dejavnosti, tudi če takšne spremembe lahko pomenijo izboljšanje (točka 86 drugega (2) člena Uredbe);</w:t>
      </w:r>
    </w:p>
    <w:p w14:paraId="6BD482C1"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lastRenderedPageBreak/>
        <w:t>2.4 Podjetje je vsaka pravna ali fizična oseba, ki se ukvarja z gospodarsko dejavnostjo, ne glede na njeno pravno obliko. To zlasti vključuje samozaposlene osebe in družinska podjetja, ki se ukvarjajo z obrtjo ali drugimi dejavnostmi, ter partnerska podjetja ali združenja, ki se redno ukvarjajo z gospodarsko dejavnostjo (1. člen Priloge 1 Uredbe).</w:t>
      </w:r>
    </w:p>
    <w:p w14:paraId="52A92232" w14:textId="77777777" w:rsidR="00D45189" w:rsidRPr="006C6318" w:rsidRDefault="00D45189" w:rsidP="006C6318">
      <w:pPr>
        <w:spacing w:after="160" w:line="276" w:lineRule="auto"/>
        <w:jc w:val="both"/>
        <w:rPr>
          <w:rFonts w:asciiTheme="minorHAnsi" w:eastAsiaTheme="minorHAnsi" w:hAnsiTheme="minorHAnsi" w:cstheme="minorHAnsi"/>
          <w:b/>
          <w:sz w:val="20"/>
          <w:szCs w:val="20"/>
          <w:lang w:eastAsia="en-US"/>
        </w:rPr>
      </w:pPr>
      <w:r w:rsidRPr="006C6318">
        <w:rPr>
          <w:rFonts w:asciiTheme="minorHAnsi" w:eastAsiaTheme="minorHAnsi" w:hAnsiTheme="minorHAnsi" w:cstheme="minorHAnsi"/>
          <w:b/>
          <w:sz w:val="20"/>
          <w:szCs w:val="20"/>
          <w:lang w:eastAsia="en-US"/>
        </w:rPr>
        <w:t>3. Metodologija vključuje tudi naslednjo sodno prakso:</w:t>
      </w:r>
    </w:p>
    <w:p w14:paraId="3D91AA36"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3.1 Sodba Sodišča Evropske unije z dne 13. oktobra 2022 v združenih zadevah C-164/21 in C-318/21</w:t>
      </w:r>
      <w:r w:rsidRPr="006C6318">
        <w:rPr>
          <w:rFonts w:asciiTheme="minorHAnsi" w:eastAsiaTheme="minorHAnsi" w:hAnsiTheme="minorHAnsi" w:cstheme="minorHAnsi"/>
          <w:sz w:val="20"/>
          <w:szCs w:val="20"/>
          <w:vertAlign w:val="superscript"/>
          <w:lang w:eastAsia="en-US"/>
        </w:rPr>
        <w:footnoteReference w:id="2"/>
      </w:r>
      <w:r w:rsidRPr="006C6318">
        <w:rPr>
          <w:rFonts w:asciiTheme="minorHAnsi" w:eastAsiaTheme="minorHAnsi" w:hAnsiTheme="minorHAnsi" w:cstheme="minorHAnsi"/>
          <w:sz w:val="20"/>
          <w:szCs w:val="20"/>
          <w:lang w:eastAsia="en-US"/>
        </w:rPr>
        <w:t xml:space="preserve"> (v nadaljevanju: sodba SEU), na primer:</w:t>
      </w:r>
    </w:p>
    <w:p w14:paraId="183BAF7D"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3.1.1 Točka 46: »[…] kar zadeva pojem „glavni cilj“, je treba opozoriti, da ga Uredba št. 651/2014 ne opredeljuje. Zato mora Sodišče določiti njegov pomen in obseg v skladu z njegovim običajnim pomenom v vsakdanjem jeziku […]. V vsakdanjem jeziku se cilj subjekta nanaša na cilj, ki ga namerava doseči, pridevnik 'glavni' pa poudarja večji pomen zadevnega cilja in s tem njegovo prednost pred vsemi drugimi možnimi cilji subjekta.«;</w:t>
      </w:r>
    </w:p>
    <w:p w14:paraId="44C80808"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 xml:space="preserve">3.1.2 Točka 48: »[…] pojem „glavni cilj« […] ne preprečuje organizaciji za raziskovanje in širjenje znanja, da izvaja tudi druge dejavnosti, ki so morebiti gospodarske narave, kot so plačljive izobraževalne dejavnosti, pod pogojem, da te dejavnosti ohranijo sekundarno, </w:t>
      </w:r>
      <w:proofErr w:type="spellStart"/>
      <w:r w:rsidRPr="006C6318">
        <w:rPr>
          <w:rFonts w:asciiTheme="minorHAnsi" w:eastAsiaTheme="minorHAnsi" w:hAnsiTheme="minorHAnsi" w:cstheme="minorHAnsi"/>
          <w:sz w:val="20"/>
          <w:szCs w:val="20"/>
          <w:lang w:eastAsia="en-US"/>
        </w:rPr>
        <w:t>neprevladujočo</w:t>
      </w:r>
      <w:proofErr w:type="spellEnd"/>
      <w:r w:rsidRPr="006C6318">
        <w:rPr>
          <w:rFonts w:asciiTheme="minorHAnsi" w:eastAsiaTheme="minorHAnsi" w:hAnsiTheme="minorHAnsi" w:cstheme="minorHAnsi"/>
          <w:sz w:val="20"/>
          <w:szCs w:val="20"/>
          <w:lang w:eastAsia="en-US"/>
        </w:rPr>
        <w:t xml:space="preserve"> naravo v odnosu do osnovne dejavnosti, ki običajno niso gospodarske narave in vključujejo neodvisno raziskovanje ali širjenje rezultatov tega raziskovanja […] organizacija za raziskovanje in širjenje znanja lahko opravlja tako gospodarsko dejavnost kot negospodarsko dejavnost.«;</w:t>
      </w:r>
    </w:p>
    <w:p w14:paraId="48E8E888"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3.1.3 Točka 50: »[…] za opredelitev kot „organizacija za raziskovanje in razširjanje znanja“ v smislu člena 2(83) Uredbe št. 651/2014 mora subjekt izvajati neodvisne raziskave, po možnosti dopolnjene z dejavnostmi za širjenje rezultatov teh raziskovalnih dejavnosti.«;</w:t>
      </w:r>
    </w:p>
    <w:p w14:paraId="2A2D8A24"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3.1.4 Točka 51: »Zato ustanov, namenjenih izključno izobraževanim dejavnostim in splošnemu širjenju že priznanih znanstvenih spoznanj ni mogoče opredeliti kot organizacije za raziskovanje in širjenje znanja […].«;</w:t>
      </w:r>
    </w:p>
    <w:p w14:paraId="30194DA9"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3.1.5 Točka 52: »[…] merila, po katerih se ocenjuje bistveni pogoj glede glavnega cilja subjekta, da bi ta subjekt kvalificirali kot ‘organizacijo za raziskovanje in širjenje znanja’ v smislu točke 83 člena 2 Uredbe št. 651/2014, niso konkretizirana v navedeni točki 83 člena 2. Zato je treba skleniti, da je za oceno glavnega cilja subjekta v skladu s to določbo dovoljeno upoštevati vsa pomembna merila, kot so ustrezna pravna ureditev ali statut zadevnega subjekta.«;</w:t>
      </w:r>
    </w:p>
    <w:p w14:paraId="55C52A47"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3.1.6 Točka 59: »Točko 83 drugega (2) člena Uredbe št. 651/2014 je treba razlagati tako, da se subjekt zasebnega prava, ki izvaja več dejavnosti, vključno z raziskavami, vendar večino svojih prihodkov pridobiva iz gospodarskih dejavnosti, kot je zagotavljanje izobraževalnih storitev za plačilo, lahko šteje za ‘organizacijo za raziskave in širjenje znanja’ v smislu te določbe, pod pogojem, da je ob upoštevanju vseh okoliščin, ki so pomembne v zadevnem primeru, mogoče ugotoviti, da je njegov glavni cilj popolnoma neodvisno izvajanje temeljnih raziskav, industrijskih raziskav ali eksperimentalnega razvoja, po možnosti dopolnjen z dejavnostmi za širjenje rezultatov te raziskovalne dejavnosti, poučevanjem, objavljanjem ali prenosom znanja. V tem smislu od takega subjekta ni mogoče zahtevati, da določen delež svojih prihodkov pridobi iz dejavnosti raziskovanja in širjenja znanja, ki niso gospodarske narave.«.</w:t>
      </w:r>
    </w:p>
    <w:p w14:paraId="07F3D67D"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3.2 Sklepi generalnega pravobranilca</w:t>
      </w:r>
      <w:r w:rsidRPr="006C6318">
        <w:rPr>
          <w:rFonts w:asciiTheme="minorHAnsi" w:eastAsiaTheme="minorHAnsi" w:hAnsiTheme="minorHAnsi" w:cstheme="minorHAnsi"/>
          <w:sz w:val="20"/>
          <w:szCs w:val="20"/>
          <w:vertAlign w:val="superscript"/>
          <w:lang w:eastAsia="en-US"/>
        </w:rPr>
        <w:footnoteReference w:id="3"/>
      </w:r>
      <w:r w:rsidRPr="006C6318">
        <w:rPr>
          <w:rFonts w:asciiTheme="minorHAnsi" w:eastAsiaTheme="minorHAnsi" w:hAnsiTheme="minorHAnsi" w:cstheme="minorHAnsi"/>
          <w:sz w:val="20"/>
          <w:szCs w:val="20"/>
          <w:lang w:eastAsia="en-US"/>
        </w:rPr>
        <w:t xml:space="preserve"> (pristojno Sodišče EU spremlja potek zadeve) v preambuli sodbe SEU</w:t>
      </w:r>
      <w:r w:rsidRPr="006C6318">
        <w:rPr>
          <w:rFonts w:asciiTheme="minorHAnsi" w:eastAsiaTheme="minorHAnsi" w:hAnsiTheme="minorHAnsi" w:cstheme="minorHAnsi"/>
          <w:sz w:val="20"/>
          <w:szCs w:val="20"/>
          <w:vertAlign w:val="superscript"/>
          <w:lang w:eastAsia="en-US"/>
        </w:rPr>
        <w:footnoteReference w:id="4"/>
      </w:r>
      <w:r w:rsidRPr="006C6318">
        <w:rPr>
          <w:rFonts w:asciiTheme="minorHAnsi" w:eastAsiaTheme="minorHAnsi" w:hAnsiTheme="minorHAnsi" w:cstheme="minorHAnsi"/>
          <w:sz w:val="20"/>
          <w:szCs w:val="20"/>
          <w:lang w:eastAsia="en-US"/>
        </w:rPr>
        <w:t>, na primer, da:</w:t>
      </w:r>
    </w:p>
    <w:p w14:paraId="30783415"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lastRenderedPageBreak/>
        <w:t>3.2.1 "73. [...] besedno zvezo "glavni cilj" je treba razumeti v smislu dejavnosti, za opravljanje katerih je bil subjekt sploh ustanovljen. Seveda je lahko osnovnih dejavnosti več.«</w:t>
      </w:r>
    </w:p>
    <w:p w14:paraId="0E72C5BA"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3.2.2 »74. Na primer, ustanove, kot so univerze, so običajno ustanovljene za širjenje znanja in izvajanje raziskav. Tako poučevanje kot raziskovanje sta tu njihovi osnovni dejavnosti. Raziskovalni inštituti so lahko ustanovljeni izključno za raziskave in lahko svoje rezultate širijo v zunanjih publikacijah. Tako je raziskovanje njihova edina osnovna dejavnost. Nazadnje, nekatere ustanove, kot so jezikovne šole ali ustanove za poklicno usposabljanje, so morda ustanovljene samo za poučevanje, lahko pa tudi izvajajo raziskave o na primer izboljšanju svoje metodologije poučevanja. Vendar tovrstne raziskave niso glavni cilj takšne ustanove; v tem scenariju je raziskovanje le instrumentalno in zato pomožno glede na glavni cilj institucije, ki je poučevanje.«</w:t>
      </w:r>
    </w:p>
    <w:p w14:paraId="6418179B"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3.2.3 »81. Za presojo osnovne dejavnosti subjekta je lahko koristnih več dejavnikov: statut ali podoben ustanovitveni akt subjekta, njegova letna poročila in ali izpolnjuje merila nacionalne zakonodaje za pridobitev statusa višje izobraževalne ali raziskovalne ustanove (kot je akreditacija),  kot tudi poročila nacionalnega akreditacijskega organa. Glede na to, da se visokošolske akreditacije običajno podeljujejo za omejeno obdobje in se lahko podaljšujejo, se lahko odločitve o ponovni akreditaciji obravnavajo tudi kot priložnost za določitev osnovne dejavnosti subjekta.«</w:t>
      </w:r>
    </w:p>
    <w:p w14:paraId="0B4E8781"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 xml:space="preserve">3.2.4 Končna ugotovitev: »Subjekt, katerega dejavnost je povezana z raziskovanjem in izobraževanjem, se lahko kvalificira kot »organizacija za raziskovanje in širjenje znanja« v Uredbi Komisije (EU) št. 651/2014 (17. junij 2014) o razglasitvi nekaterih vrst pomoči za združljive z notranjim trgom z uporabo členov 107 in 108 [PDEU] v smislu člena 2(83), </w:t>
      </w:r>
      <w:r w:rsidRPr="006C6318">
        <w:rPr>
          <w:rFonts w:asciiTheme="minorHAnsi" w:eastAsiaTheme="minorHAnsi" w:hAnsiTheme="minorHAnsi" w:cstheme="minorHAnsi"/>
          <w:sz w:val="20"/>
          <w:szCs w:val="20"/>
          <w:u w:val="single"/>
          <w:lang w:eastAsia="en-US"/>
        </w:rPr>
        <w:t>če je ena od njegovih glavnih dejavnosti neodvisno raziskovanje, ki je vsaj delno negospodarske narave</w:t>
      </w:r>
      <w:r w:rsidRPr="006C6318">
        <w:rPr>
          <w:rFonts w:asciiTheme="minorHAnsi" w:eastAsiaTheme="minorHAnsi" w:hAnsiTheme="minorHAnsi" w:cstheme="minorHAnsi"/>
          <w:sz w:val="20"/>
          <w:szCs w:val="20"/>
          <w:lang w:eastAsia="en-US"/>
        </w:rPr>
        <w:t>, tudi če so nekatere njegove dejavnosti gospodarske dejavnosti ali z drugimi besedami, četudi del svojih prihodkov pridobi z opravljanjem storitev za plačilo.</w:t>
      </w:r>
      <w:r w:rsidRPr="006C6318">
        <w:rPr>
          <w:rFonts w:asciiTheme="minorHAnsi" w:eastAsiaTheme="minorHAnsi" w:hAnsiTheme="minorHAnsi" w:cstheme="minorHAnsi"/>
          <w:sz w:val="20"/>
          <w:szCs w:val="20"/>
          <w:vertAlign w:val="superscript"/>
          <w:lang w:eastAsia="en-US"/>
        </w:rPr>
        <w:footnoteReference w:id="5"/>
      </w:r>
      <w:r w:rsidRPr="006C6318">
        <w:rPr>
          <w:rFonts w:asciiTheme="minorHAnsi" w:eastAsiaTheme="minorHAnsi" w:hAnsiTheme="minorHAnsi" w:cstheme="minorHAnsi"/>
          <w:sz w:val="20"/>
          <w:szCs w:val="20"/>
          <w:lang w:eastAsia="en-US"/>
        </w:rPr>
        <w:t>"</w:t>
      </w:r>
    </w:p>
    <w:p w14:paraId="5EB10C72" w14:textId="77777777" w:rsidR="00D45189" w:rsidRPr="006C6318" w:rsidRDefault="00D45189" w:rsidP="006C6318">
      <w:pPr>
        <w:spacing w:after="160" w:line="276" w:lineRule="auto"/>
        <w:jc w:val="both"/>
        <w:rPr>
          <w:rFonts w:asciiTheme="minorHAnsi" w:eastAsiaTheme="minorHAnsi" w:hAnsiTheme="minorHAnsi" w:cstheme="minorHAnsi"/>
          <w:b/>
          <w:sz w:val="20"/>
          <w:szCs w:val="20"/>
          <w:lang w:eastAsia="en-US"/>
        </w:rPr>
      </w:pPr>
      <w:r w:rsidRPr="006C6318">
        <w:rPr>
          <w:rFonts w:asciiTheme="minorHAnsi" w:eastAsiaTheme="minorHAnsi" w:hAnsiTheme="minorHAnsi" w:cstheme="minorHAnsi"/>
          <w:b/>
          <w:sz w:val="20"/>
          <w:szCs w:val="20"/>
          <w:lang w:eastAsia="en-US"/>
        </w:rPr>
        <w:t>II. OCENA SKLADNOSTI Z DEFINICIJO ORGANIZACIJE ZA RAZISKOVANJE IN ŠIRJENJE ZNANJA</w:t>
      </w:r>
    </w:p>
    <w:p w14:paraId="49374E2D"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4. Skladnost z definicijo organizacije za raziskovanje in širjenje znanja se ugotavlja ob upoštevanju informacij o skladnosti subjekta z naslednjimi vidiki, ki so navedeni v Izjavi o opredelitvi kot organizacija za raziskave in širjenje znanja iz Priloge te metodologije (v nadaljevanju</w:t>
      </w:r>
      <w:r w:rsidRPr="00B6355A">
        <w:rPr>
          <w:rFonts w:asciiTheme="minorHAnsi" w:hAnsiTheme="minorHAnsi" w:cstheme="minorHAnsi"/>
          <w:sz w:val="20"/>
          <w:szCs w:val="20"/>
        </w:rPr>
        <w:t xml:space="preserve"> </w:t>
      </w:r>
      <w:r w:rsidRPr="006C6318">
        <w:rPr>
          <w:rFonts w:asciiTheme="minorHAnsi" w:eastAsiaTheme="minorHAnsi" w:hAnsiTheme="minorHAnsi" w:cstheme="minorHAnsi"/>
          <w:sz w:val="20"/>
          <w:szCs w:val="20"/>
          <w:lang w:eastAsia="en-US"/>
        </w:rPr>
        <w:t xml:space="preserve">te priloge:: </w:t>
      </w:r>
      <w:r w:rsidRPr="006C6318">
        <w:rPr>
          <w:rFonts w:asciiTheme="minorHAnsi" w:eastAsiaTheme="minorHAnsi" w:hAnsiTheme="minorHAnsi" w:cstheme="minorHAnsi"/>
          <w:b/>
          <w:sz w:val="20"/>
          <w:szCs w:val="20"/>
          <w:lang w:eastAsia="en-US"/>
        </w:rPr>
        <w:t>Samoopredelitev</w:t>
      </w:r>
      <w:r w:rsidRPr="006C6318">
        <w:rPr>
          <w:rFonts w:asciiTheme="minorHAnsi" w:eastAsiaTheme="minorHAnsi" w:hAnsiTheme="minorHAnsi" w:cstheme="minorHAnsi"/>
          <w:sz w:val="20"/>
          <w:szCs w:val="20"/>
          <w:lang w:eastAsia="en-US"/>
        </w:rPr>
        <w:t>):</w:t>
      </w:r>
    </w:p>
    <w:p w14:paraId="69BEE93D"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4.1. Ali je glavni cilj ali osnovna dejavnost subjekta:</w:t>
      </w:r>
    </w:p>
    <w:p w14:paraId="5C06C1A5" w14:textId="77777777" w:rsidR="00D45189" w:rsidRPr="006C6318" w:rsidRDefault="00D45189" w:rsidP="006C6318">
      <w:pPr>
        <w:spacing w:after="160" w:line="276" w:lineRule="auto"/>
        <w:ind w:firstLine="708"/>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a) neodvisna izvedba temeljnih raziskav, industrijskih raziskav ali eksperimentalnega razvoja (v nadaljevanju</w:t>
      </w:r>
      <w:r w:rsidRPr="00B6355A">
        <w:rPr>
          <w:rFonts w:asciiTheme="minorHAnsi" w:hAnsiTheme="minorHAnsi" w:cstheme="minorHAnsi"/>
          <w:sz w:val="20"/>
          <w:szCs w:val="20"/>
        </w:rPr>
        <w:t xml:space="preserve"> </w:t>
      </w:r>
      <w:r w:rsidRPr="006C6318">
        <w:rPr>
          <w:rFonts w:asciiTheme="minorHAnsi" w:eastAsiaTheme="minorHAnsi" w:hAnsiTheme="minorHAnsi" w:cstheme="minorHAnsi"/>
          <w:sz w:val="20"/>
          <w:szCs w:val="20"/>
          <w:lang w:eastAsia="en-US"/>
        </w:rPr>
        <w:t xml:space="preserve">te priloge:: </w:t>
      </w:r>
      <w:r w:rsidRPr="006C6318">
        <w:rPr>
          <w:rFonts w:asciiTheme="minorHAnsi" w:eastAsiaTheme="minorHAnsi" w:hAnsiTheme="minorHAnsi" w:cstheme="minorHAnsi"/>
          <w:b/>
          <w:sz w:val="20"/>
          <w:szCs w:val="20"/>
          <w:lang w:eastAsia="en-US"/>
        </w:rPr>
        <w:t>Neodvisno raziskovanje</w:t>
      </w:r>
      <w:r w:rsidRPr="006C6318">
        <w:rPr>
          <w:rFonts w:asciiTheme="minorHAnsi" w:eastAsiaTheme="minorHAnsi" w:hAnsiTheme="minorHAnsi" w:cstheme="minorHAnsi"/>
          <w:sz w:val="20"/>
          <w:szCs w:val="20"/>
          <w:lang w:eastAsia="en-US"/>
        </w:rPr>
        <w:t>) ali</w:t>
      </w:r>
    </w:p>
    <w:p w14:paraId="0A3FB3C8" w14:textId="77777777" w:rsidR="00D45189" w:rsidRPr="006C6318" w:rsidRDefault="00D45189" w:rsidP="006C6318">
      <w:pPr>
        <w:spacing w:after="160" w:line="276" w:lineRule="auto"/>
        <w:ind w:firstLine="708"/>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b) obsežno razširjanje rezultatov Neodvisnega raziskovanja prek izobraževanja, objav ali prenosa znanja</w:t>
      </w:r>
      <w:r w:rsidRPr="006C6318">
        <w:rPr>
          <w:rFonts w:asciiTheme="minorHAnsi" w:eastAsiaTheme="minorHAnsi" w:hAnsiTheme="minorHAnsi" w:cstheme="minorHAnsi"/>
          <w:sz w:val="20"/>
          <w:szCs w:val="20"/>
          <w:vertAlign w:val="superscript"/>
          <w:lang w:eastAsia="en-US"/>
        </w:rPr>
        <w:footnoteReference w:id="6"/>
      </w:r>
      <w:r w:rsidRPr="006C6318">
        <w:rPr>
          <w:rFonts w:asciiTheme="minorHAnsi" w:eastAsiaTheme="minorHAnsi" w:hAnsiTheme="minorHAnsi" w:cstheme="minorHAnsi"/>
          <w:sz w:val="20"/>
          <w:szCs w:val="20"/>
          <w:lang w:eastAsia="en-US"/>
        </w:rPr>
        <w:t xml:space="preserve"> (v nadaljevanju</w:t>
      </w:r>
      <w:r w:rsidRPr="00B6355A">
        <w:rPr>
          <w:rFonts w:asciiTheme="minorHAnsi" w:hAnsiTheme="minorHAnsi" w:cstheme="minorHAnsi"/>
          <w:sz w:val="20"/>
          <w:szCs w:val="20"/>
        </w:rPr>
        <w:t xml:space="preserve"> </w:t>
      </w:r>
      <w:r w:rsidRPr="006C6318">
        <w:rPr>
          <w:rFonts w:asciiTheme="minorHAnsi" w:eastAsiaTheme="minorHAnsi" w:hAnsiTheme="minorHAnsi" w:cstheme="minorHAnsi"/>
          <w:sz w:val="20"/>
          <w:szCs w:val="20"/>
          <w:lang w:eastAsia="en-US"/>
        </w:rPr>
        <w:t xml:space="preserve">te priloge:: </w:t>
      </w:r>
      <w:r w:rsidRPr="006C6318">
        <w:rPr>
          <w:rFonts w:asciiTheme="minorHAnsi" w:eastAsiaTheme="minorHAnsi" w:hAnsiTheme="minorHAnsi" w:cstheme="minorHAnsi"/>
          <w:b/>
          <w:sz w:val="20"/>
          <w:szCs w:val="20"/>
          <w:lang w:eastAsia="en-US"/>
        </w:rPr>
        <w:t>Širjenje znanja</w:t>
      </w:r>
      <w:r w:rsidRPr="006C6318">
        <w:rPr>
          <w:rFonts w:asciiTheme="minorHAnsi" w:eastAsiaTheme="minorHAnsi" w:hAnsiTheme="minorHAnsi" w:cstheme="minorHAnsi"/>
          <w:sz w:val="20"/>
          <w:szCs w:val="20"/>
          <w:lang w:eastAsia="en-US"/>
        </w:rPr>
        <w:t>).</w:t>
      </w:r>
    </w:p>
    <w:p w14:paraId="48E0B528"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4.2. Če tak subjekt opravlja tudi gospodarsko dejavnost, ali so financiranje, stroški in prihodki navedenih gospodarskih dejavnosti knjiženi ločeno.</w:t>
      </w:r>
    </w:p>
    <w:p w14:paraId="6F928D87"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4.3 Ali so podjetja, ki imajo lahko odločilen vpliv na tak subjekt, npr. v vlogi delničarjev ali članov, brez prednostnega dostopa do rezultatov raziskav, ki jih je subjekt izvedel.</w:t>
      </w:r>
    </w:p>
    <w:p w14:paraId="644C779D"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lastRenderedPageBreak/>
        <w:t>5. Skladnost po 4. točki metodologije se ocenjuje za zadnja tri koledarska leta, pri čemer se upošteva:</w:t>
      </w:r>
    </w:p>
    <w:p w14:paraId="6495C0BD"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5.1. preteklo leto se ne šteje, če se pregledovanje pogojev zaključi do 31. marca tekočega leta;</w:t>
      </w:r>
    </w:p>
    <w:p w14:paraId="600FF26B"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5.2. preteklo leto se šteje, če se pregledovanje pogojev zaključi od 1. aprila tekočega leta.</w:t>
      </w:r>
    </w:p>
    <w:p w14:paraId="5ED3D1F4" w14:textId="77777777" w:rsidR="00D45189" w:rsidRPr="006C6318" w:rsidRDefault="00D45189" w:rsidP="006C6318">
      <w:pPr>
        <w:spacing w:after="160" w:line="276" w:lineRule="auto"/>
        <w:ind w:firstLine="708"/>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u w:val="single"/>
          <w:lang w:eastAsia="en-US"/>
        </w:rPr>
        <w:t>Na primer:</w:t>
      </w:r>
      <w:r w:rsidRPr="006C6318">
        <w:rPr>
          <w:rFonts w:asciiTheme="minorHAnsi" w:eastAsiaTheme="minorHAnsi" w:hAnsiTheme="minorHAnsi" w:cstheme="minorHAnsi"/>
          <w:sz w:val="20"/>
          <w:szCs w:val="20"/>
          <w:lang w:eastAsia="en-US"/>
        </w:rPr>
        <w:t xml:space="preserve"> če se postopek pregledovanja pogojev konča marca 2025, so zadnja 3 leta 2021, 2022 in 2023; če se postopek pregledovanja pogojev začne 1. aprila 2025, potem so zadnja 3 leta 2022, 2023 in 2024.</w:t>
      </w:r>
    </w:p>
    <w:p w14:paraId="7F2A6ABC" w14:textId="77777777" w:rsidR="00D45189" w:rsidRPr="006C6318" w:rsidRDefault="00D45189" w:rsidP="006C6318">
      <w:pPr>
        <w:spacing w:after="160" w:line="276" w:lineRule="auto"/>
        <w:ind w:firstLine="708"/>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u w:val="single"/>
          <w:lang w:eastAsia="en-US"/>
        </w:rPr>
        <w:t>Obrazložitev:</w:t>
      </w:r>
      <w:r w:rsidRPr="006C6318">
        <w:rPr>
          <w:rFonts w:asciiTheme="minorHAnsi" w:eastAsiaTheme="minorHAnsi" w:hAnsiTheme="minorHAnsi" w:cstheme="minorHAnsi"/>
          <w:sz w:val="20"/>
          <w:szCs w:val="20"/>
          <w:lang w:eastAsia="en-US"/>
        </w:rPr>
        <w:t xml:space="preserve"> Subjekti kot so univerze ali raziskovalni inštituti, agencije za prenos tehnologije, posredniki za inovacije ali v raziskave usmerjeni fizični ali virtualni skupni subjekti, organizirani po javnem ali zasebnem pravu skladno z Zakonom o računovodstvu</w:t>
      </w:r>
      <w:r w:rsidRPr="006C6318">
        <w:rPr>
          <w:rFonts w:asciiTheme="minorHAnsi" w:eastAsiaTheme="minorHAnsi" w:hAnsiTheme="minorHAnsi" w:cstheme="minorHAnsi"/>
          <w:sz w:val="20"/>
          <w:szCs w:val="20"/>
          <w:vertAlign w:val="superscript"/>
          <w:lang w:eastAsia="en-US"/>
        </w:rPr>
        <w:footnoteReference w:id="7"/>
      </w:r>
      <w:r w:rsidRPr="006C6318">
        <w:rPr>
          <w:rFonts w:asciiTheme="minorHAnsi" w:eastAsiaTheme="minorHAnsi" w:hAnsiTheme="minorHAnsi" w:cstheme="minorHAnsi"/>
          <w:sz w:val="20"/>
          <w:szCs w:val="20"/>
          <w:lang w:eastAsia="en-US"/>
        </w:rPr>
        <w:t>, Zakonom o plačilnem prometu</w:t>
      </w:r>
      <w:r w:rsidRPr="006C6318">
        <w:rPr>
          <w:rFonts w:asciiTheme="minorHAnsi" w:eastAsiaTheme="minorHAnsi" w:hAnsiTheme="minorHAnsi" w:cstheme="minorHAnsi"/>
          <w:sz w:val="20"/>
          <w:szCs w:val="20"/>
          <w:vertAlign w:val="superscript"/>
          <w:lang w:eastAsia="en-US"/>
        </w:rPr>
        <w:footnoteReference w:id="8"/>
      </w:r>
      <w:r w:rsidRPr="006C6318">
        <w:rPr>
          <w:rFonts w:asciiTheme="minorHAnsi" w:eastAsiaTheme="minorHAnsi" w:hAnsiTheme="minorHAnsi" w:cstheme="minorHAnsi"/>
          <w:sz w:val="20"/>
          <w:szCs w:val="20"/>
          <w:lang w:eastAsia="en-US"/>
        </w:rPr>
        <w:t xml:space="preserve"> in drugimi predpisi do 31. marca 2024 pripravijo in oddajo končne verzije dokumentacije za letna in druga poročila vključno z izkazi prihodkov, odhodkov določenih uporabnikov po vrstah dejavnosti Agenciji Republike Slovenije za javnopravne evidence in storitve (v nadaljevanju</w:t>
      </w:r>
      <w:r w:rsidRPr="00B6355A">
        <w:rPr>
          <w:rFonts w:asciiTheme="minorHAnsi" w:hAnsiTheme="minorHAnsi" w:cstheme="minorHAnsi"/>
          <w:sz w:val="20"/>
          <w:szCs w:val="20"/>
        </w:rPr>
        <w:t xml:space="preserve"> </w:t>
      </w:r>
      <w:r w:rsidRPr="006C6318">
        <w:rPr>
          <w:rFonts w:asciiTheme="minorHAnsi" w:eastAsiaTheme="minorHAnsi" w:hAnsiTheme="minorHAnsi" w:cstheme="minorHAnsi"/>
          <w:sz w:val="20"/>
          <w:szCs w:val="20"/>
          <w:lang w:eastAsia="en-US"/>
        </w:rPr>
        <w:t xml:space="preserve">te priloge:: </w:t>
      </w:r>
      <w:r w:rsidRPr="006C6318">
        <w:rPr>
          <w:rFonts w:asciiTheme="minorHAnsi" w:eastAsiaTheme="minorHAnsi" w:hAnsiTheme="minorHAnsi" w:cstheme="minorHAnsi"/>
          <w:b/>
          <w:sz w:val="20"/>
          <w:szCs w:val="20"/>
          <w:lang w:eastAsia="en-US"/>
        </w:rPr>
        <w:t>AJPES</w:t>
      </w:r>
      <w:r w:rsidRPr="006C6318">
        <w:rPr>
          <w:rFonts w:asciiTheme="minorHAnsi" w:eastAsiaTheme="minorHAnsi" w:hAnsiTheme="minorHAnsi" w:cstheme="minorHAnsi"/>
          <w:sz w:val="20"/>
          <w:szCs w:val="20"/>
          <w:lang w:eastAsia="en-US"/>
        </w:rPr>
        <w:t xml:space="preserve"> - </w:t>
      </w:r>
      <w:hyperlink r:id="rId7" w:history="1">
        <w:r w:rsidRPr="006C6318">
          <w:rPr>
            <w:rFonts w:asciiTheme="minorHAnsi" w:eastAsiaTheme="minorHAnsi" w:hAnsiTheme="minorHAnsi" w:cstheme="minorHAnsi"/>
            <w:color w:val="0000FF"/>
            <w:sz w:val="20"/>
            <w:szCs w:val="20"/>
            <w:u w:val="single"/>
            <w:lang w:eastAsia="en-US"/>
          </w:rPr>
          <w:t>https://www.ajpes.si/</w:t>
        </w:r>
      </w:hyperlink>
      <w:r w:rsidRPr="006C6318">
        <w:rPr>
          <w:rFonts w:asciiTheme="minorHAnsi" w:eastAsiaTheme="minorHAnsi" w:hAnsiTheme="minorHAnsi" w:cstheme="minorHAnsi"/>
          <w:sz w:val="20"/>
          <w:szCs w:val="20"/>
          <w:lang w:eastAsia="en-US"/>
        </w:rPr>
        <w:t>), zato od 31. marca tekočega leta razpolagajo s podatki za preteklo leto.</w:t>
      </w:r>
    </w:p>
    <w:p w14:paraId="194D9A1F"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5.3. če subjekt, ki je bil ustanovljen v koledarskem letu, v katerem se izvaja ugotavljanje skladnosti po metodologiji, in ni dejanskih dokazov, da subjekt izvaja Neodvisno raziskovanje ali Širjenje znanja, se preverja informacije, ki jih posreduje subjekt v skladu s točkami 1, 2, 3 in 4 Metodologije;</w:t>
      </w:r>
    </w:p>
    <w:p w14:paraId="511E596C"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5.4. če je obdobje poslovanja subjekta krajše od obdobja, določenega v 5. točki Metodologije, se skladnost z vidiki, določenimi v 4. točki metodologije, presoja za njegovo obdobje poslovanja od dneva ustanovitve do koledarskega leta, v katerem se izvaja ugotavljanje skladnosti po Metodologiji.</w:t>
      </w:r>
    </w:p>
    <w:p w14:paraId="14596CFD" w14:textId="77777777" w:rsidR="00D45189" w:rsidRPr="006C6318" w:rsidRDefault="00D45189" w:rsidP="006C6318">
      <w:pPr>
        <w:spacing w:after="160" w:line="276" w:lineRule="auto"/>
        <w:jc w:val="both"/>
        <w:rPr>
          <w:rFonts w:asciiTheme="minorHAnsi" w:eastAsiaTheme="minorHAnsi" w:hAnsiTheme="minorHAnsi" w:cstheme="minorHAnsi"/>
          <w:b/>
          <w:sz w:val="20"/>
          <w:szCs w:val="20"/>
          <w:lang w:eastAsia="en-US"/>
        </w:rPr>
      </w:pPr>
      <w:r w:rsidRPr="006C6318">
        <w:rPr>
          <w:rFonts w:asciiTheme="minorHAnsi" w:eastAsiaTheme="minorHAnsi" w:hAnsiTheme="minorHAnsi" w:cstheme="minorHAnsi"/>
          <w:b/>
          <w:sz w:val="20"/>
          <w:szCs w:val="20"/>
          <w:lang w:eastAsia="en-US"/>
        </w:rPr>
        <w:t>III. PREVERJANJE GLAVNEGA CILJA ALI OSNOVNE DEJAVNOSTI SUBJEKTA</w:t>
      </w:r>
    </w:p>
    <w:p w14:paraId="45B6D6D7" w14:textId="189F0A63"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6. Glavni cilj ali osnovna dejavnost subjekta se po tej Metodologiji preverja le za subjekte, ki imajo v skladu z Zakonom o znanstveno raziskovalni in inovacijski dejavnosti (v nadaljevanju</w:t>
      </w:r>
      <w:r w:rsidRPr="00B6355A">
        <w:rPr>
          <w:rFonts w:asciiTheme="minorHAnsi" w:hAnsiTheme="minorHAnsi" w:cstheme="minorHAnsi"/>
          <w:sz w:val="20"/>
          <w:szCs w:val="20"/>
        </w:rPr>
        <w:t xml:space="preserve"> </w:t>
      </w:r>
      <w:r w:rsidRPr="006C6318">
        <w:rPr>
          <w:rFonts w:asciiTheme="minorHAnsi" w:eastAsiaTheme="minorHAnsi" w:hAnsiTheme="minorHAnsi" w:cstheme="minorHAnsi"/>
          <w:sz w:val="20"/>
          <w:szCs w:val="20"/>
          <w:lang w:eastAsia="en-US"/>
        </w:rPr>
        <w:t xml:space="preserve">te priloge: </w:t>
      </w:r>
      <w:r w:rsidRPr="006C6318">
        <w:rPr>
          <w:rFonts w:asciiTheme="minorHAnsi" w:eastAsiaTheme="minorHAnsi" w:hAnsiTheme="minorHAnsi" w:cstheme="minorHAnsi"/>
          <w:b/>
          <w:sz w:val="20"/>
          <w:szCs w:val="20"/>
          <w:lang w:eastAsia="en-US"/>
        </w:rPr>
        <w:t>ZZRID</w:t>
      </w:r>
      <w:r w:rsidRPr="006C6318">
        <w:rPr>
          <w:rFonts w:asciiTheme="minorHAnsi" w:eastAsiaTheme="minorHAnsi" w:hAnsiTheme="minorHAnsi" w:cstheme="minorHAnsi"/>
          <w:sz w:val="20"/>
          <w:szCs w:val="20"/>
          <w:vertAlign w:val="superscript"/>
          <w:lang w:eastAsia="en-US"/>
        </w:rPr>
        <w:footnoteReference w:id="9"/>
      </w:r>
      <w:r w:rsidRPr="006C6318">
        <w:rPr>
          <w:rFonts w:asciiTheme="minorHAnsi" w:eastAsiaTheme="minorHAnsi" w:hAnsiTheme="minorHAnsi" w:cstheme="minorHAnsi"/>
          <w:sz w:val="20"/>
          <w:szCs w:val="20"/>
          <w:lang w:eastAsia="en-US"/>
        </w:rPr>
        <w:t>) status raziskovalne organizacije in so vpisani v Evidenco izvajalcev raziskovalne in razvojne dejavnosti</w:t>
      </w:r>
      <w:r w:rsidRPr="006C6318">
        <w:rPr>
          <w:rFonts w:asciiTheme="minorHAnsi" w:eastAsiaTheme="minorHAnsi" w:hAnsiTheme="minorHAnsi" w:cstheme="minorHAnsi"/>
          <w:sz w:val="20"/>
          <w:szCs w:val="20"/>
          <w:vertAlign w:val="superscript"/>
          <w:lang w:eastAsia="en-US"/>
        </w:rPr>
        <w:footnoteReference w:id="10"/>
      </w:r>
      <w:r w:rsidRPr="006C6318">
        <w:rPr>
          <w:rFonts w:asciiTheme="minorHAnsi" w:eastAsiaTheme="minorHAnsi" w:hAnsiTheme="minorHAnsi" w:cstheme="minorHAnsi"/>
          <w:sz w:val="20"/>
          <w:szCs w:val="20"/>
          <w:lang w:eastAsia="en-US"/>
        </w:rPr>
        <w:t xml:space="preserve"> (v nadaljevanju</w:t>
      </w:r>
      <w:r w:rsidRPr="00B6355A">
        <w:rPr>
          <w:rFonts w:asciiTheme="minorHAnsi" w:hAnsiTheme="minorHAnsi" w:cstheme="minorHAnsi"/>
          <w:sz w:val="20"/>
          <w:szCs w:val="20"/>
        </w:rPr>
        <w:t xml:space="preserve"> </w:t>
      </w:r>
      <w:r w:rsidRPr="006C6318">
        <w:rPr>
          <w:rFonts w:asciiTheme="minorHAnsi" w:eastAsiaTheme="minorHAnsi" w:hAnsiTheme="minorHAnsi" w:cstheme="minorHAnsi"/>
          <w:sz w:val="20"/>
          <w:szCs w:val="20"/>
          <w:lang w:eastAsia="en-US"/>
        </w:rPr>
        <w:t xml:space="preserve">te priloge:: </w:t>
      </w:r>
      <w:r w:rsidRPr="006C6318">
        <w:rPr>
          <w:rFonts w:asciiTheme="minorHAnsi" w:eastAsiaTheme="minorHAnsi" w:hAnsiTheme="minorHAnsi" w:cstheme="minorHAnsi"/>
          <w:b/>
          <w:sz w:val="20"/>
          <w:szCs w:val="20"/>
          <w:lang w:eastAsia="en-US"/>
        </w:rPr>
        <w:t>Evidenca RO</w:t>
      </w:r>
      <w:r w:rsidRPr="006C6318">
        <w:rPr>
          <w:rFonts w:asciiTheme="minorHAnsi" w:eastAsiaTheme="minorHAnsi" w:hAnsiTheme="minorHAnsi" w:cstheme="minorHAnsi"/>
          <w:sz w:val="20"/>
          <w:szCs w:val="20"/>
          <w:lang w:eastAsia="en-US"/>
        </w:rPr>
        <w:t>), ki je javno dostopna v Informacijskem sistemu o raziskovalni  dejavnosti v Sloveniji (v nadaljevanju</w:t>
      </w:r>
      <w:r w:rsidRPr="006C6318">
        <w:rPr>
          <w:rFonts w:asciiTheme="minorHAnsi" w:hAnsiTheme="minorHAnsi" w:cstheme="minorHAnsi"/>
          <w:sz w:val="20"/>
          <w:szCs w:val="20"/>
        </w:rPr>
        <w:t xml:space="preserve"> </w:t>
      </w:r>
      <w:r w:rsidRPr="006C6318">
        <w:rPr>
          <w:rFonts w:asciiTheme="minorHAnsi" w:eastAsiaTheme="minorHAnsi" w:hAnsiTheme="minorHAnsi" w:cstheme="minorHAnsi"/>
          <w:sz w:val="20"/>
          <w:szCs w:val="20"/>
          <w:lang w:eastAsia="en-US"/>
        </w:rPr>
        <w:t xml:space="preserve">te priloge: </w:t>
      </w:r>
      <w:r w:rsidRPr="006C6318">
        <w:rPr>
          <w:rFonts w:asciiTheme="minorHAnsi" w:eastAsiaTheme="minorHAnsi" w:hAnsiTheme="minorHAnsi" w:cstheme="minorHAnsi"/>
          <w:b/>
          <w:sz w:val="20"/>
          <w:szCs w:val="20"/>
          <w:lang w:eastAsia="en-US"/>
        </w:rPr>
        <w:t>SICRIS</w:t>
      </w:r>
      <w:r w:rsidRPr="006C6318">
        <w:rPr>
          <w:rFonts w:asciiTheme="minorHAnsi" w:eastAsiaTheme="minorHAnsi" w:hAnsiTheme="minorHAnsi" w:cstheme="minorHAnsi"/>
          <w:sz w:val="20"/>
          <w:szCs w:val="20"/>
          <w:lang w:eastAsia="en-US"/>
        </w:rPr>
        <w:t xml:space="preserve">; glej tukaj: </w:t>
      </w:r>
      <w:hyperlink r:id="rId8" w:history="1">
        <w:r w:rsidRPr="006C6318">
          <w:rPr>
            <w:rFonts w:asciiTheme="minorHAnsi" w:eastAsiaTheme="minorHAnsi" w:hAnsiTheme="minorHAnsi" w:cstheme="minorHAnsi"/>
            <w:color w:val="0000FF"/>
            <w:sz w:val="20"/>
            <w:szCs w:val="20"/>
            <w:u w:val="single"/>
            <w:lang w:eastAsia="en-US"/>
          </w:rPr>
          <w:t>https://cris.cobiss.net/ecris/si/sl</w:t>
        </w:r>
      </w:hyperlink>
      <w:r w:rsidRPr="006C6318">
        <w:rPr>
          <w:rFonts w:asciiTheme="minorHAnsi" w:eastAsiaTheme="minorHAnsi" w:hAnsiTheme="minorHAnsi" w:cstheme="minorHAnsi"/>
          <w:sz w:val="20"/>
          <w:szCs w:val="20"/>
          <w:lang w:eastAsia="en-US"/>
        </w:rPr>
        <w:t xml:space="preserve">). Skladno s pogoji </w:t>
      </w:r>
      <w:r w:rsidRPr="00161BE8">
        <w:rPr>
          <w:rFonts w:asciiTheme="minorHAnsi" w:eastAsiaTheme="minorHAnsi" w:hAnsiTheme="minorHAnsi" w:cstheme="minorHAnsi"/>
          <w:sz w:val="20"/>
          <w:szCs w:val="20"/>
          <w:lang w:eastAsia="en-US"/>
        </w:rPr>
        <w:t xml:space="preserve">Javnega </w:t>
      </w:r>
      <w:r w:rsidR="00161BE8">
        <w:rPr>
          <w:rFonts w:asciiTheme="minorHAnsi" w:eastAsiaTheme="minorHAnsi" w:hAnsiTheme="minorHAnsi" w:cstheme="minorHAnsi"/>
          <w:sz w:val="20"/>
          <w:szCs w:val="20"/>
          <w:lang w:eastAsia="en-US"/>
        </w:rPr>
        <w:t xml:space="preserve">poziva </w:t>
      </w:r>
      <w:r w:rsidRPr="00161BE8">
        <w:rPr>
          <w:rFonts w:asciiTheme="minorHAnsi" w:eastAsiaTheme="minorHAnsi" w:hAnsiTheme="minorHAnsi" w:cstheme="minorHAnsi"/>
          <w:sz w:val="20"/>
          <w:szCs w:val="20"/>
          <w:lang w:eastAsia="en-US"/>
        </w:rPr>
        <w:t>»</w:t>
      </w:r>
      <w:r w:rsidR="00161BE8">
        <w:rPr>
          <w:rFonts w:asciiTheme="minorHAnsi" w:eastAsiaTheme="minorHAnsi" w:hAnsiTheme="minorHAnsi" w:cstheme="minorHAnsi"/>
          <w:sz w:val="20"/>
          <w:szCs w:val="20"/>
          <w:lang w:eastAsia="en-US"/>
        </w:rPr>
        <w:t xml:space="preserve">Nadgradnja aplikativnih </w:t>
      </w:r>
      <w:r w:rsidR="00161BE8" w:rsidRPr="00DE0A22">
        <w:rPr>
          <w:rFonts w:asciiTheme="minorHAnsi" w:eastAsiaTheme="minorHAnsi" w:hAnsiTheme="minorHAnsi" w:cstheme="minorHAnsi"/>
          <w:sz w:val="20"/>
          <w:szCs w:val="20"/>
          <w:lang w:eastAsia="en-US"/>
        </w:rPr>
        <w:t xml:space="preserve">projektov </w:t>
      </w:r>
      <w:r w:rsidR="00A9148C" w:rsidRPr="00DE0A22">
        <w:rPr>
          <w:rFonts w:asciiTheme="minorHAnsi" w:eastAsiaTheme="minorHAnsi" w:hAnsiTheme="minorHAnsi" w:cstheme="minorHAnsi"/>
          <w:sz w:val="20"/>
          <w:szCs w:val="20"/>
          <w:lang w:eastAsia="en-US"/>
        </w:rPr>
        <w:t>ARIS</w:t>
      </w:r>
      <w:r w:rsidR="00A9148C">
        <w:rPr>
          <w:rFonts w:asciiTheme="minorHAnsi" w:eastAsiaTheme="minorHAnsi" w:hAnsiTheme="minorHAnsi" w:cstheme="minorHAnsi"/>
          <w:sz w:val="20"/>
          <w:szCs w:val="20"/>
          <w:lang w:eastAsia="en-US"/>
        </w:rPr>
        <w:t xml:space="preserve"> </w:t>
      </w:r>
      <w:r w:rsidR="00161BE8">
        <w:rPr>
          <w:rFonts w:asciiTheme="minorHAnsi" w:eastAsiaTheme="minorHAnsi" w:hAnsiTheme="minorHAnsi" w:cstheme="minorHAnsi"/>
          <w:sz w:val="20"/>
          <w:szCs w:val="20"/>
          <w:lang w:eastAsia="en-US"/>
        </w:rPr>
        <w:t>(JP NAP)</w:t>
      </w:r>
      <w:r w:rsidRPr="00161BE8">
        <w:rPr>
          <w:rFonts w:asciiTheme="minorHAnsi" w:eastAsiaTheme="minorHAnsi" w:hAnsiTheme="minorHAnsi" w:cstheme="minorHAnsi"/>
          <w:sz w:val="20"/>
          <w:szCs w:val="20"/>
          <w:lang w:eastAsia="en-US"/>
        </w:rPr>
        <w:t>«</w:t>
      </w:r>
      <w:r w:rsidRPr="006C6318">
        <w:rPr>
          <w:rFonts w:asciiTheme="minorHAnsi" w:eastAsiaTheme="minorHAnsi" w:hAnsiTheme="minorHAnsi" w:cstheme="minorHAnsi"/>
          <w:sz w:val="20"/>
          <w:szCs w:val="20"/>
          <w:lang w:eastAsia="en-US"/>
        </w:rPr>
        <w:t xml:space="preserve"> so </w:t>
      </w:r>
      <w:proofErr w:type="spellStart"/>
      <w:r w:rsidRPr="006C6318">
        <w:rPr>
          <w:rFonts w:asciiTheme="minorHAnsi" w:eastAsiaTheme="minorHAnsi" w:hAnsiTheme="minorHAnsi" w:cstheme="minorHAnsi"/>
          <w:sz w:val="20"/>
          <w:szCs w:val="20"/>
          <w:lang w:eastAsia="en-US"/>
        </w:rPr>
        <w:t>konzorcijski</w:t>
      </w:r>
      <w:proofErr w:type="spellEnd"/>
      <w:r w:rsidRPr="006C6318">
        <w:rPr>
          <w:rFonts w:asciiTheme="minorHAnsi" w:eastAsiaTheme="minorHAnsi" w:hAnsiTheme="minorHAnsi" w:cstheme="minorHAnsi"/>
          <w:sz w:val="20"/>
          <w:szCs w:val="20"/>
          <w:lang w:eastAsia="en-US"/>
        </w:rPr>
        <w:t xml:space="preserve"> partnerji – organizacije za raziskovanje in širjenje znanja -  tisti subjekti iz Evidence RO, ki so javni in zasebni zavodi oziroma visokošolski zavodi skladno z določbami Zakona o zavodih</w:t>
      </w:r>
      <w:r w:rsidRPr="006C6318">
        <w:rPr>
          <w:rFonts w:asciiTheme="minorHAnsi" w:eastAsiaTheme="minorHAnsi" w:hAnsiTheme="minorHAnsi" w:cstheme="minorHAnsi"/>
          <w:sz w:val="20"/>
          <w:szCs w:val="20"/>
          <w:vertAlign w:val="superscript"/>
          <w:lang w:eastAsia="en-US"/>
        </w:rPr>
        <w:footnoteReference w:id="11"/>
      </w:r>
      <w:r w:rsidRPr="006C6318">
        <w:rPr>
          <w:rFonts w:asciiTheme="minorHAnsi" w:eastAsiaTheme="minorHAnsi" w:hAnsiTheme="minorHAnsi" w:cstheme="minorHAnsi"/>
          <w:sz w:val="20"/>
          <w:szCs w:val="20"/>
          <w:lang w:eastAsia="en-US"/>
        </w:rPr>
        <w:t xml:space="preserve"> oziroma Zakona o visokem šolstvu</w:t>
      </w:r>
      <w:r w:rsidRPr="006C6318">
        <w:rPr>
          <w:rFonts w:asciiTheme="minorHAnsi" w:eastAsiaTheme="minorHAnsi" w:hAnsiTheme="minorHAnsi" w:cstheme="minorHAnsi"/>
          <w:sz w:val="20"/>
          <w:szCs w:val="20"/>
          <w:vertAlign w:val="superscript"/>
          <w:lang w:eastAsia="en-US"/>
        </w:rPr>
        <w:footnoteReference w:id="12"/>
      </w:r>
      <w:r w:rsidRPr="006C6318">
        <w:rPr>
          <w:rFonts w:asciiTheme="minorHAnsi" w:eastAsiaTheme="minorHAnsi" w:hAnsiTheme="minorHAnsi" w:cstheme="minorHAnsi"/>
          <w:sz w:val="20"/>
          <w:szCs w:val="20"/>
          <w:lang w:eastAsia="en-US"/>
        </w:rPr>
        <w:t>.</w:t>
      </w:r>
    </w:p>
    <w:p w14:paraId="125CC109"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7. Pri preverjanju glavnega cilja ali osnovne dejavnosti subjekta iz Evidence RO se upošteva regulativni okvir, ki ureja dejavnosti subjekta (vključno z njegovim statutom, internimi pravili in podobno razpoložljivo dokumentacijo), strukturo in izvor financiranja njegovih dejavnosti ter, če je mogoče, druge javno dostopne informacije, ki opisujejo dejavnosti subjekta (na primer strategija razvoja, letni in finančni načrt, letno in finančno poročilo). Subjekt posreduje dokazila, ki opredeljujejo umestitev kot navedeno v 4. točki metodologije, ali javno dostopne spletne povezave na dokazila v Samoopredelitvi.</w:t>
      </w:r>
    </w:p>
    <w:p w14:paraId="0B664253"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lastRenderedPageBreak/>
        <w:t>8. Subjekt, vpisan v Evidenco RO, ki je ustanovljen po Zakonu o zavodih (ne glede na ustanovitelja) in ni visokošolski zavod, v skladu z normativno ureditvijo Republike Slovenije izpolnjuje pogoje za izvajanje raziskovalne in razvojne dejavnosti, dodatno pa je treba zagotoviti, da:</w:t>
      </w:r>
    </w:p>
    <w:p w14:paraId="6D0B2BA3"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8.1. statut oziroma pravila in drugi splošni akti subjekta opredeljujejo, da je glavni cilj ali osnovna dejavnost subjekta Neodvisno raziskovanje ali Širjenje znanja.</w:t>
      </w:r>
    </w:p>
    <w:p w14:paraId="609602F9"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8.2. je iz programa dela in razvoja, finančnega načrta, letnega poročila ali drugih strateških dokumentov razvidno, da je glavni cilj ali osnovna dejavnost subjekta Neodvisno raziskovanje in Širjenje znanja.</w:t>
      </w:r>
    </w:p>
    <w:p w14:paraId="75FD06E9"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9. Subjekt, vpisan v Evidenco RO, ki je visokošolski zavod (ne glede na ustanovitelja) skladno z Zakonom o visokošolskih zavodih, v skladu z normativno ureditvijo Republike Slovenije izpolnjuje pogoje za izvajanje raziskovalne in razvojne dejavnosti, dodatno pa je treba zagotoviti, da:</w:t>
      </w:r>
    </w:p>
    <w:p w14:paraId="06FF0D89"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9.1 statut oziroma pravila in drugi splošni akti subjekta opredeljujejo, da je glavni cilj ali osnovna dejavnost subjekta Neodvisno raziskovanje;</w:t>
      </w:r>
    </w:p>
    <w:p w14:paraId="01B70209"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9.2 je subjekt akreditiran za izvajanje izobraževalne dejavnosti in registriran v Javni evidenci akreditacij visokošolskih zavodov Nacionalne agencije Republike Slovenije za kakovost v visokem šolstvu (v nadaljevanju</w:t>
      </w:r>
      <w:r w:rsidRPr="006C6318">
        <w:rPr>
          <w:rFonts w:asciiTheme="minorHAnsi" w:hAnsiTheme="minorHAnsi" w:cstheme="minorHAnsi"/>
          <w:sz w:val="20"/>
          <w:szCs w:val="20"/>
        </w:rPr>
        <w:t xml:space="preserve"> </w:t>
      </w:r>
      <w:r w:rsidRPr="006C6318">
        <w:rPr>
          <w:rFonts w:asciiTheme="minorHAnsi" w:eastAsiaTheme="minorHAnsi" w:hAnsiTheme="minorHAnsi" w:cstheme="minorHAnsi"/>
          <w:sz w:val="20"/>
          <w:szCs w:val="20"/>
          <w:lang w:eastAsia="en-US"/>
        </w:rPr>
        <w:t>te priloge:</w:t>
      </w:r>
      <w:r w:rsidRPr="006C6318">
        <w:rPr>
          <w:rFonts w:asciiTheme="minorHAnsi" w:eastAsiaTheme="minorHAnsi" w:hAnsiTheme="minorHAnsi" w:cstheme="minorHAnsi"/>
          <w:b/>
          <w:sz w:val="20"/>
          <w:szCs w:val="20"/>
          <w:lang w:eastAsia="en-US"/>
        </w:rPr>
        <w:t xml:space="preserve"> NAKVIS</w:t>
      </w:r>
      <w:r w:rsidRPr="006C6318">
        <w:rPr>
          <w:rFonts w:asciiTheme="minorHAnsi" w:eastAsiaTheme="minorHAnsi" w:hAnsiTheme="minorHAnsi" w:cstheme="minorHAnsi"/>
          <w:sz w:val="20"/>
          <w:szCs w:val="20"/>
          <w:lang w:eastAsia="en-US"/>
        </w:rPr>
        <w:t xml:space="preserve">; </w:t>
      </w:r>
      <w:hyperlink r:id="rId9" w:history="1">
        <w:r w:rsidRPr="006C6318">
          <w:rPr>
            <w:rFonts w:asciiTheme="minorHAnsi" w:eastAsiaTheme="minorHAnsi" w:hAnsiTheme="minorHAnsi" w:cstheme="minorHAnsi"/>
            <w:color w:val="0000FF"/>
            <w:sz w:val="20"/>
            <w:szCs w:val="20"/>
            <w:u w:val="single"/>
            <w:lang w:eastAsia="en-US"/>
          </w:rPr>
          <w:t>https://nakvis.si/akreditacije-in-evalvacije-v-visokem-solstvu/javne-evidence/</w:t>
        </w:r>
      </w:hyperlink>
      <w:r w:rsidRPr="006C6318">
        <w:rPr>
          <w:rFonts w:asciiTheme="minorHAnsi" w:eastAsiaTheme="minorHAnsi" w:hAnsiTheme="minorHAnsi" w:cstheme="minorHAnsi"/>
          <w:sz w:val="20"/>
          <w:szCs w:val="20"/>
          <w:lang w:eastAsia="en-US"/>
        </w:rPr>
        <w:t>)</w:t>
      </w:r>
    </w:p>
    <w:p w14:paraId="64D5CEC3"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9.3  je iz programa dela in razvoja, finančnega načrta, letnega poročila ali drugih strateških dokumentov razvidno, da je glavni cilj ali osnovna dejavnost subjekta Neodvisno raziskovanje.</w:t>
      </w:r>
    </w:p>
    <w:p w14:paraId="7969F138"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10. Za preverjanje dejanskega izvajanja aktivnosti iz 8., 9. in 10. točke metodologije, ki so Neodvisno raziskovanje ali Širjenje znanja in jih subjekt iz Evidence RO izvaja v ustreznih koledarskih letih, se uporabijo:</w:t>
      </w:r>
    </w:p>
    <w:p w14:paraId="7057F524" w14:textId="77777777" w:rsidR="00D45189" w:rsidRPr="006C6318" w:rsidRDefault="00D45189" w:rsidP="006C6318">
      <w:pPr>
        <w:spacing w:after="160" w:line="276" w:lineRule="auto"/>
        <w:ind w:firstLine="708"/>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a) podatki SICRIS iz Evidence RO o raziskovalni dejavnosti, vrednotenju, citiranju raziskovalne dejavnosti subjekta ter</w:t>
      </w:r>
    </w:p>
    <w:p w14:paraId="79645365" w14:textId="77777777" w:rsidR="00D45189" w:rsidRPr="006C6318" w:rsidRDefault="00D45189" w:rsidP="006C6318">
      <w:pPr>
        <w:spacing w:after="160" w:line="276" w:lineRule="auto"/>
        <w:ind w:firstLine="708"/>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b) informacije, če je le možno javno dostopne, ki jih subjekt predloži v Samoopredelitvi.</w:t>
      </w:r>
    </w:p>
    <w:p w14:paraId="18E04A7F"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Preveriti je potrebno naslednje informacije:</w:t>
      </w:r>
    </w:p>
    <w:p w14:paraId="6F96A6E7"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10.1 izvajanje Neodvisnega raziskovanja, razdeljeno po znanstvenih področjih in raziskovalnih kategorijah (temeljne raziskave, industrijske raziskave, eksperimentalni razvoj; v nadaljevanju</w:t>
      </w:r>
      <w:r w:rsidRPr="006C6318">
        <w:rPr>
          <w:rFonts w:asciiTheme="minorHAnsi" w:hAnsiTheme="minorHAnsi" w:cstheme="minorHAnsi"/>
          <w:sz w:val="20"/>
          <w:szCs w:val="20"/>
        </w:rPr>
        <w:t xml:space="preserve"> </w:t>
      </w:r>
      <w:r w:rsidRPr="006C6318">
        <w:rPr>
          <w:rFonts w:asciiTheme="minorHAnsi" w:eastAsiaTheme="minorHAnsi" w:hAnsiTheme="minorHAnsi" w:cstheme="minorHAnsi"/>
          <w:sz w:val="20"/>
          <w:szCs w:val="20"/>
          <w:lang w:eastAsia="en-US"/>
        </w:rPr>
        <w:t xml:space="preserve">te priloge: </w:t>
      </w:r>
      <w:r w:rsidRPr="006C6318">
        <w:rPr>
          <w:rFonts w:asciiTheme="minorHAnsi" w:eastAsiaTheme="minorHAnsi" w:hAnsiTheme="minorHAnsi" w:cstheme="minorHAnsi"/>
          <w:b/>
          <w:sz w:val="20"/>
          <w:szCs w:val="20"/>
          <w:lang w:eastAsia="en-US"/>
        </w:rPr>
        <w:t>Raziskovalne kategorije</w:t>
      </w:r>
      <w:r w:rsidRPr="006C6318">
        <w:rPr>
          <w:rFonts w:asciiTheme="minorHAnsi" w:eastAsiaTheme="minorHAnsi" w:hAnsiTheme="minorHAnsi" w:cstheme="minorHAnsi"/>
          <w:sz w:val="20"/>
          <w:szCs w:val="20"/>
          <w:lang w:eastAsia="en-US"/>
        </w:rPr>
        <w:t>). To pomeni, da so v Samoopredelitvi navedene informacije kot so informacije o:</w:t>
      </w:r>
    </w:p>
    <w:p w14:paraId="018DD1AD" w14:textId="77777777" w:rsidR="00D45189" w:rsidRPr="006C6318" w:rsidRDefault="00D45189" w:rsidP="006C6318">
      <w:pPr>
        <w:spacing w:after="160" w:line="276" w:lineRule="auto"/>
        <w:ind w:firstLine="708"/>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 raziskovalnih projektih in njihova razdelitev po znanstvenih področjih in Raziskovalnih kategorijah (npr. projekti ARIS, projekti, financirani iz Okvirnega programa Evropske unije ter drugi mednarodni in nacionalni kompetitivni projekti, financirani z državnega proračuna);</w:t>
      </w:r>
    </w:p>
    <w:p w14:paraId="38B180BC" w14:textId="77777777" w:rsidR="00D45189" w:rsidRPr="006C6318" w:rsidRDefault="00D45189" w:rsidP="006C6318">
      <w:pPr>
        <w:spacing w:after="160" w:line="276" w:lineRule="auto"/>
        <w:ind w:firstLine="708"/>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 raziskovalnih in razvojnih pogodbenih delih in njihova razdelitev po znanstvenih področjih in Raziskovalnih kategorijah, pridobljeno financiranje in vir financiranja (vključno z raziskovalnimi in razvojnimi pogodbami s podjetji, javnimi osebami - na primer država, občina, javna univerza, inštitut) in drugimi naročniki - na primer fizična oseba, društvo, ustanova);</w:t>
      </w:r>
    </w:p>
    <w:p w14:paraId="0CA4908E" w14:textId="77777777" w:rsidR="00D45189" w:rsidRPr="006C6318" w:rsidRDefault="00D45189" w:rsidP="006C6318">
      <w:pPr>
        <w:spacing w:after="160" w:line="276" w:lineRule="auto"/>
        <w:ind w:firstLine="708"/>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 narava raziskovalno razvojne dejavnosti (negospodarska dejavnost, gospodarska dejavnost), prihodki od prenosa pravic intelektualne lastnine, sredstva, ki jih raziskovalna organizacija pridobi iz mednarodnih raziskovalno-razvojnih pogodb.</w:t>
      </w:r>
    </w:p>
    <w:p w14:paraId="204A57E0"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10.2 znanstvene publikacije, znanstveno recenzirane monografije, udeležba na konferencah (na primer kongresi, forumi, simpoziji, razstave, seminarji) ali drugih dogodkih, namenjenih Širjenju znanja v obliki učnih gradiv (študij), publikacij ali prenosa znanja (informacije o naslovih, avtorjih, znanstvenih področjih, ime revije ali založnika monografije, leto izdaje, vrsta publikacije, DOI, ISBN, ISSN)”.</w:t>
      </w:r>
    </w:p>
    <w:p w14:paraId="5F1A005E"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lastRenderedPageBreak/>
        <w:t>10.3 intelektualna lastnina, ustvarjena/pridobljena kot rezultat znanstvene dejavnosti (npr. patent, rastlinska sorta) (informacije o avtorjih, kraju vpisa in nazivu vpisnika, znanstvenem področju, vpisni številki, prioritetnem datumu prijave).</w:t>
      </w:r>
    </w:p>
    <w:p w14:paraId="038D07BE" w14:textId="77777777" w:rsidR="00D45189" w:rsidRPr="006C6318" w:rsidRDefault="00D45189" w:rsidP="006C6318">
      <w:pPr>
        <w:spacing w:after="160" w:line="276" w:lineRule="auto"/>
        <w:jc w:val="both"/>
        <w:rPr>
          <w:rFonts w:asciiTheme="minorHAnsi" w:eastAsiaTheme="minorHAnsi" w:hAnsiTheme="minorHAnsi" w:cstheme="minorHAnsi"/>
          <w:b/>
          <w:sz w:val="20"/>
          <w:szCs w:val="20"/>
          <w:lang w:eastAsia="en-US"/>
        </w:rPr>
      </w:pPr>
      <w:r w:rsidRPr="006C6318">
        <w:rPr>
          <w:rFonts w:asciiTheme="minorHAnsi" w:eastAsiaTheme="minorHAnsi" w:hAnsiTheme="minorHAnsi" w:cstheme="minorHAnsi"/>
          <w:b/>
          <w:sz w:val="20"/>
          <w:szCs w:val="20"/>
          <w:lang w:eastAsia="en-US"/>
        </w:rPr>
        <w:t>IV. FINANCIRANJE, STROŠKI IN PRIHODKI GOSPODARSKE DEJAVNOSTI</w:t>
      </w:r>
    </w:p>
    <w:p w14:paraId="546EC596"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11. Če se ugotovi, da subjekt opravlja tudi gospodarsko dejavnost, se preveri, če so financiranje, stroški in prihodki gospodarske dejavnosti knjiženi ločeno od osnovne negospodarske dejavnosti kot razvidno iz računovodskih izkazov in poročila o poslovanju za poslovna leta, oddanih AJPES ali drugih ustreznih računovodskih dokazil.</w:t>
      </w:r>
    </w:p>
    <w:p w14:paraId="389EE2DC" w14:textId="77777777" w:rsidR="00D45189" w:rsidRPr="006C6318" w:rsidRDefault="00D45189" w:rsidP="006C6318">
      <w:pPr>
        <w:spacing w:after="160" w:line="276" w:lineRule="auto"/>
        <w:jc w:val="both"/>
        <w:rPr>
          <w:rFonts w:asciiTheme="minorHAnsi" w:eastAsiaTheme="minorHAnsi" w:hAnsiTheme="minorHAnsi" w:cstheme="minorHAnsi"/>
          <w:b/>
          <w:sz w:val="20"/>
          <w:szCs w:val="20"/>
          <w:lang w:eastAsia="en-US"/>
        </w:rPr>
      </w:pPr>
      <w:r w:rsidRPr="006C6318">
        <w:rPr>
          <w:rFonts w:asciiTheme="minorHAnsi" w:eastAsiaTheme="minorHAnsi" w:hAnsiTheme="minorHAnsi" w:cstheme="minorHAnsi"/>
          <w:b/>
          <w:sz w:val="20"/>
          <w:szCs w:val="20"/>
          <w:lang w:eastAsia="en-US"/>
        </w:rPr>
        <w:t>V. ODLOČILEN VPLIV IN PREDNOSTNI DOSTOP DO REZULTATOV</w:t>
      </w:r>
    </w:p>
    <w:p w14:paraId="4271E3D2"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12. iz dokumentacije o delovanju subjekta kot je na primer program dela in razvoja, finančni načrt, letno poročilo, notranji pravilniki, protokoli ali druga relevantna dokumentacija, mora biti razvidno:</w:t>
      </w:r>
    </w:p>
    <w:p w14:paraId="263DB739"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12.1 da podjetja, ki imajo lahko odločilen vpliv na tak subjekt, na primer v vlogi delničarjev ali članov, nimajo prednostnega dostopa do rezultatov raziskav, ki jih je subjekt izvedel;</w:t>
      </w:r>
    </w:p>
    <w:p w14:paraId="28AAC792"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12.2 da subjekt izvaja obsežno razširjanje rezultatov Neodvisnega raziskovanja in komercializacijo intelektualne lastnine skladno z Zakonom o izumih z delovnega razmerja</w:t>
      </w:r>
      <w:r w:rsidRPr="006C6318">
        <w:rPr>
          <w:rFonts w:asciiTheme="minorHAnsi" w:eastAsiaTheme="minorHAnsi" w:hAnsiTheme="minorHAnsi" w:cstheme="minorHAnsi"/>
          <w:sz w:val="20"/>
          <w:szCs w:val="20"/>
          <w:vertAlign w:val="superscript"/>
          <w:lang w:eastAsia="en-US"/>
        </w:rPr>
        <w:footnoteReference w:id="13"/>
      </w:r>
      <w:r w:rsidRPr="006C6318">
        <w:rPr>
          <w:rFonts w:asciiTheme="minorHAnsi" w:eastAsiaTheme="minorHAnsi" w:hAnsiTheme="minorHAnsi" w:cstheme="minorHAnsi"/>
          <w:sz w:val="20"/>
          <w:szCs w:val="20"/>
          <w:lang w:eastAsia="en-US"/>
        </w:rPr>
        <w:t xml:space="preserve"> in na način kot opisuje Okvir za državno pomoč za raziskave, razvoj in inovacije</w:t>
      </w:r>
      <w:r w:rsidRPr="006C6318">
        <w:rPr>
          <w:rFonts w:asciiTheme="minorHAnsi" w:eastAsiaTheme="minorHAnsi" w:hAnsiTheme="minorHAnsi" w:cstheme="minorHAnsi"/>
          <w:sz w:val="20"/>
          <w:szCs w:val="20"/>
          <w:vertAlign w:val="superscript"/>
          <w:lang w:eastAsia="en-US"/>
        </w:rPr>
        <w:footnoteReference w:id="14"/>
      </w:r>
      <w:r w:rsidRPr="006C6318">
        <w:rPr>
          <w:rFonts w:asciiTheme="minorHAnsi" w:eastAsiaTheme="minorHAnsi" w:hAnsiTheme="minorHAnsi" w:cstheme="minorHAnsi"/>
          <w:sz w:val="20"/>
          <w:szCs w:val="20"/>
          <w:lang w:eastAsia="en-US"/>
        </w:rPr>
        <w:t xml:space="preserve"> za projekte učinkovitega sodelovanja s podjetji;</w:t>
      </w:r>
    </w:p>
    <w:p w14:paraId="3AB6F8EB"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12.3 da so ustrezno dokumentirane informacije, navedene v Samoopredelitvi, o politiki upravljanja intelektualne lastnine in znanja, pridobljenega v okviru raziskav subjekta, in po potrebi načrta ravnanja z raziskovalnimi podatki.</w:t>
      </w:r>
    </w:p>
    <w:p w14:paraId="187810C9" w14:textId="77777777" w:rsidR="00D45189" w:rsidRPr="006C6318" w:rsidRDefault="00D45189" w:rsidP="006C6318">
      <w:pPr>
        <w:spacing w:after="160" w:line="276" w:lineRule="auto"/>
        <w:jc w:val="both"/>
        <w:rPr>
          <w:rFonts w:asciiTheme="minorHAnsi" w:eastAsiaTheme="minorHAnsi" w:hAnsiTheme="minorHAnsi" w:cstheme="minorHAnsi"/>
          <w:b/>
          <w:sz w:val="20"/>
          <w:szCs w:val="20"/>
          <w:lang w:eastAsia="en-US"/>
        </w:rPr>
      </w:pPr>
      <w:r w:rsidRPr="006C6318">
        <w:rPr>
          <w:rFonts w:asciiTheme="minorHAnsi" w:eastAsiaTheme="minorHAnsi" w:hAnsiTheme="minorHAnsi" w:cstheme="minorHAnsi"/>
          <w:b/>
          <w:sz w:val="20"/>
          <w:szCs w:val="20"/>
          <w:lang w:eastAsia="en-US"/>
        </w:rPr>
        <w:t>VI. KONČNA VPRAŠANJA</w:t>
      </w:r>
    </w:p>
    <w:p w14:paraId="5128B873"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13. Pri ocenjevanju skladnosti z raziskovalno organizacijo se upoštevajo zahteve, določene v ustreznem ukrepu/aktivnosti Programa evropske kohezijske politike v obdobju 2021-2027 v Sloveniji. ARIS ima pravico določiti dodatne dokumentirane informacije za oceno navedene skladnosti, ob upoštevanju Uredbe, ustreznih zakonov in sodne prakse.</w:t>
      </w:r>
    </w:p>
    <w:p w14:paraId="2238EDEB"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r w:rsidRPr="006C6318">
        <w:rPr>
          <w:rFonts w:asciiTheme="minorHAnsi" w:eastAsiaTheme="minorHAnsi" w:hAnsiTheme="minorHAnsi" w:cstheme="minorHAnsi"/>
          <w:sz w:val="20"/>
          <w:szCs w:val="20"/>
          <w:lang w:eastAsia="en-US"/>
        </w:rPr>
        <w:t>14. Pri presoji skladnosti z raziskovalno organizacijo ima ARIS pravico upoštevati druge razpoložljive informacije.</w:t>
      </w:r>
    </w:p>
    <w:p w14:paraId="7D0C178D" w14:textId="77777777" w:rsidR="00D45189" w:rsidRPr="006C6318" w:rsidRDefault="00D45189" w:rsidP="006C6318">
      <w:pPr>
        <w:spacing w:after="160" w:line="276" w:lineRule="auto"/>
        <w:jc w:val="both"/>
        <w:rPr>
          <w:rFonts w:asciiTheme="minorHAnsi" w:eastAsiaTheme="minorHAnsi" w:hAnsiTheme="minorHAnsi" w:cstheme="minorHAnsi"/>
          <w:sz w:val="20"/>
          <w:szCs w:val="20"/>
          <w:lang w:eastAsia="en-US"/>
        </w:rPr>
      </w:pPr>
    </w:p>
    <w:p w14:paraId="53F06B7E" w14:textId="77777777" w:rsidR="00D45189" w:rsidRPr="006C6318" w:rsidRDefault="00D45189" w:rsidP="006C6318">
      <w:pPr>
        <w:spacing w:after="160" w:line="276" w:lineRule="auto"/>
        <w:jc w:val="both"/>
        <w:rPr>
          <w:rFonts w:asciiTheme="minorHAnsi" w:eastAsiaTheme="minorEastAsia" w:hAnsiTheme="minorHAnsi" w:cstheme="minorHAnsi"/>
          <w:sz w:val="20"/>
          <w:szCs w:val="20"/>
          <w:lang w:eastAsia="en-US"/>
        </w:rPr>
      </w:pPr>
      <w:r w:rsidRPr="006C6318">
        <w:rPr>
          <w:rFonts w:asciiTheme="minorHAnsi" w:eastAsiaTheme="minorEastAsia" w:hAnsiTheme="minorHAnsi" w:cstheme="minorHAnsi"/>
          <w:b/>
          <w:bCs/>
          <w:sz w:val="20"/>
          <w:szCs w:val="20"/>
          <w:lang w:eastAsia="en-US"/>
        </w:rPr>
        <w:t>Priloga:</w:t>
      </w:r>
      <w:r w:rsidRPr="006C6318">
        <w:rPr>
          <w:rFonts w:asciiTheme="minorHAnsi" w:eastAsiaTheme="minorEastAsia" w:hAnsiTheme="minorHAnsi" w:cstheme="minorHAnsi"/>
          <w:sz w:val="20"/>
          <w:szCs w:val="20"/>
          <w:lang w:eastAsia="en-US"/>
        </w:rPr>
        <w:t xml:space="preserve"> Izjava o opredelitvi kot organizacija za raziskave in širjenje znanja (OBRAZEC 8).</w:t>
      </w:r>
    </w:p>
    <w:p w14:paraId="1D4B95BF" w14:textId="401B273E" w:rsidR="00FB000A" w:rsidRPr="006C6318" w:rsidRDefault="00FB000A" w:rsidP="006C6318">
      <w:pPr>
        <w:spacing w:after="160" w:line="276" w:lineRule="auto"/>
        <w:rPr>
          <w:rFonts w:asciiTheme="minorHAnsi" w:eastAsiaTheme="minorHAnsi" w:hAnsiTheme="minorHAnsi" w:cstheme="minorHAnsi"/>
          <w:b/>
          <w:caps/>
          <w:sz w:val="20"/>
          <w:szCs w:val="20"/>
          <w:lang w:eastAsia="en-US"/>
        </w:rPr>
      </w:pPr>
    </w:p>
    <w:sectPr w:rsidR="00FB000A" w:rsidRPr="006C631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89D2E" w14:textId="77777777" w:rsidR="00AA311D" w:rsidRDefault="00AA311D" w:rsidP="00580424">
      <w:r>
        <w:separator/>
      </w:r>
    </w:p>
  </w:endnote>
  <w:endnote w:type="continuationSeparator" w:id="0">
    <w:p w14:paraId="25CC20DF" w14:textId="77777777" w:rsidR="00AA311D" w:rsidRDefault="00AA311D" w:rsidP="0058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76ED" w14:textId="77777777" w:rsidR="00AD5A2C" w:rsidRDefault="00AD5A2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4EA0" w14:textId="77777777" w:rsidR="00AD5A2C" w:rsidRDefault="00AD5A2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5310" w14:textId="77777777" w:rsidR="00AD5A2C" w:rsidRDefault="00AD5A2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DC59" w14:textId="77777777" w:rsidR="00AA311D" w:rsidRDefault="00AA311D" w:rsidP="00580424">
      <w:r>
        <w:separator/>
      </w:r>
    </w:p>
  </w:footnote>
  <w:footnote w:type="continuationSeparator" w:id="0">
    <w:p w14:paraId="769A9CE5" w14:textId="77777777" w:rsidR="00AA311D" w:rsidRDefault="00AA311D" w:rsidP="00580424">
      <w:r>
        <w:continuationSeparator/>
      </w:r>
    </w:p>
  </w:footnote>
  <w:footnote w:id="1">
    <w:p w14:paraId="65AF1C09" w14:textId="77777777" w:rsidR="00D45189" w:rsidRPr="006C6318" w:rsidRDefault="00D45189" w:rsidP="006C6318">
      <w:pPr>
        <w:pStyle w:val="Sprotnaopomba-besedilo"/>
        <w:jc w:val="both"/>
        <w:rPr>
          <w:rFonts w:asciiTheme="minorHAnsi" w:hAnsiTheme="minorHAnsi" w:cstheme="minorHAnsi"/>
          <w:sz w:val="18"/>
          <w:szCs w:val="18"/>
        </w:rPr>
      </w:pPr>
      <w:r w:rsidRPr="006C6318">
        <w:rPr>
          <w:rStyle w:val="Sprotnaopomba-sklic"/>
          <w:rFonts w:asciiTheme="minorHAnsi" w:hAnsiTheme="minorHAnsi" w:cstheme="minorHAnsi"/>
          <w:sz w:val="18"/>
          <w:szCs w:val="18"/>
        </w:rPr>
        <w:footnoteRef/>
      </w:r>
      <w:r w:rsidRPr="006C6318">
        <w:rPr>
          <w:rFonts w:asciiTheme="minorHAnsi" w:hAnsiTheme="minorHAnsi" w:cstheme="minorHAnsi"/>
          <w:sz w:val="18"/>
          <w:szCs w:val="18"/>
        </w:rPr>
        <w:t xml:space="preserve"> Uredba Komisije (EU) št. 651/2014 z dne 17. junija 2014 o razglasitvi nekaterih vrst pomoči za združljive z notranjim trgom pri uporabi členov 107 in 108 Pogodbe (besedilo velja za EGP </w:t>
      </w:r>
      <w:hyperlink r:id="rId1" w:history="1">
        <w:r w:rsidRPr="006C6318">
          <w:rPr>
            <w:rStyle w:val="Hiperpovezava"/>
            <w:rFonts w:asciiTheme="minorHAnsi" w:hAnsiTheme="minorHAnsi" w:cstheme="minorHAnsi"/>
            <w:sz w:val="18"/>
            <w:szCs w:val="18"/>
          </w:rPr>
          <w:t>https://eur-lex.europa.eu/legal-content/SL/TXT/HTML/?uri=CELEX:02014R0651-20230701</w:t>
        </w:r>
      </w:hyperlink>
      <w:r w:rsidRPr="006C6318">
        <w:rPr>
          <w:rFonts w:asciiTheme="minorHAnsi" w:hAnsiTheme="minorHAnsi" w:cstheme="minorHAnsi"/>
          <w:sz w:val="18"/>
          <w:szCs w:val="18"/>
        </w:rPr>
        <w:t xml:space="preserve"> (13. 10. 2024)</w:t>
      </w:r>
    </w:p>
  </w:footnote>
  <w:footnote w:id="2">
    <w:p w14:paraId="09D36DCC" w14:textId="77777777" w:rsidR="00D45189" w:rsidRPr="006C6318" w:rsidRDefault="00D45189" w:rsidP="006C6318">
      <w:pPr>
        <w:pStyle w:val="Sprotnaopomba-besedilo"/>
        <w:jc w:val="both"/>
        <w:rPr>
          <w:rFonts w:asciiTheme="minorHAnsi" w:hAnsiTheme="minorHAnsi" w:cstheme="minorHAnsi"/>
          <w:sz w:val="18"/>
          <w:szCs w:val="18"/>
        </w:rPr>
      </w:pPr>
      <w:r w:rsidRPr="006C6318">
        <w:rPr>
          <w:rStyle w:val="Sprotnaopomba-sklic"/>
          <w:rFonts w:asciiTheme="minorHAnsi" w:hAnsiTheme="minorHAnsi" w:cstheme="minorHAnsi"/>
          <w:sz w:val="18"/>
          <w:szCs w:val="18"/>
        </w:rPr>
        <w:footnoteRef/>
      </w:r>
      <w:r w:rsidRPr="006C6318">
        <w:rPr>
          <w:rFonts w:asciiTheme="minorHAnsi" w:hAnsiTheme="minorHAnsi" w:cstheme="minorHAnsi"/>
          <w:sz w:val="18"/>
          <w:szCs w:val="18"/>
        </w:rPr>
        <w:t xml:space="preserve">  Sodba Sodišča Evropske unije z dne 13. oktobra 2022 v združenih zadevah C-164/21 in C-318/21  </w:t>
      </w:r>
      <w:hyperlink r:id="rId2" w:history="1">
        <w:r w:rsidRPr="006C6318">
          <w:rPr>
            <w:rStyle w:val="Hiperpovezava"/>
            <w:rFonts w:asciiTheme="minorHAnsi" w:hAnsiTheme="minorHAnsi" w:cstheme="minorHAnsi"/>
            <w:sz w:val="18"/>
            <w:szCs w:val="18"/>
          </w:rPr>
          <w:t>https://eur-lex.europa.eu/legal-content/EN/TXT/?uri=CELEX%3A62021CJ0164</w:t>
        </w:r>
      </w:hyperlink>
      <w:r w:rsidRPr="006C6318">
        <w:rPr>
          <w:rFonts w:asciiTheme="minorHAnsi" w:hAnsiTheme="minorHAnsi" w:cstheme="minorHAnsi"/>
          <w:sz w:val="18"/>
          <w:szCs w:val="18"/>
        </w:rPr>
        <w:t xml:space="preserve"> (13. 10. 2024)</w:t>
      </w:r>
    </w:p>
  </w:footnote>
  <w:footnote w:id="3">
    <w:p w14:paraId="0F27ED80" w14:textId="77777777" w:rsidR="00D45189" w:rsidRPr="006C6318" w:rsidRDefault="00D45189" w:rsidP="006C6318">
      <w:pPr>
        <w:pStyle w:val="Sprotnaopomba-besedilo"/>
        <w:jc w:val="both"/>
        <w:rPr>
          <w:rFonts w:asciiTheme="minorHAnsi" w:hAnsiTheme="minorHAnsi" w:cstheme="minorHAnsi"/>
          <w:sz w:val="18"/>
          <w:szCs w:val="18"/>
        </w:rPr>
      </w:pPr>
      <w:r w:rsidRPr="006C6318">
        <w:rPr>
          <w:rStyle w:val="Sprotnaopomba-sklic"/>
          <w:rFonts w:asciiTheme="minorHAnsi" w:hAnsiTheme="minorHAnsi" w:cstheme="minorHAnsi"/>
          <w:sz w:val="18"/>
          <w:szCs w:val="18"/>
        </w:rPr>
        <w:footnoteRef/>
      </w:r>
      <w:r w:rsidRPr="006C6318">
        <w:rPr>
          <w:rFonts w:asciiTheme="minorHAnsi" w:hAnsiTheme="minorHAnsi" w:cstheme="minorHAnsi"/>
          <w:sz w:val="18"/>
          <w:szCs w:val="18"/>
        </w:rPr>
        <w:t xml:space="preserve">   Sklepi generalnega </w:t>
      </w:r>
      <w:proofErr w:type="spellStart"/>
      <w:r w:rsidRPr="006C6318">
        <w:rPr>
          <w:rFonts w:asciiTheme="minorHAnsi" w:hAnsiTheme="minorHAnsi" w:cstheme="minorHAnsi"/>
          <w:sz w:val="18"/>
          <w:szCs w:val="18"/>
        </w:rPr>
        <w:t>prvobranilca</w:t>
      </w:r>
      <w:proofErr w:type="spellEnd"/>
      <w:r w:rsidRPr="006C6318">
        <w:rPr>
          <w:rFonts w:asciiTheme="minorHAnsi" w:hAnsiTheme="minorHAnsi" w:cstheme="minorHAnsi"/>
          <w:sz w:val="18"/>
          <w:szCs w:val="18"/>
        </w:rPr>
        <w:t>, dostavljeno dne 28. aprila 2022 v združenih zadevah C</w:t>
      </w:r>
      <w:r w:rsidRPr="006C6318">
        <w:rPr>
          <w:rFonts w:ascii="Cambria Math" w:hAnsi="Cambria Math" w:cs="Cambria Math"/>
          <w:sz w:val="18"/>
          <w:szCs w:val="18"/>
        </w:rPr>
        <w:t>‑</w:t>
      </w:r>
      <w:r w:rsidRPr="006C6318">
        <w:rPr>
          <w:rFonts w:asciiTheme="minorHAnsi" w:hAnsiTheme="minorHAnsi" w:cstheme="minorHAnsi"/>
          <w:sz w:val="18"/>
          <w:szCs w:val="18"/>
        </w:rPr>
        <w:t>164/21 in C</w:t>
      </w:r>
      <w:r w:rsidRPr="006C6318">
        <w:rPr>
          <w:rFonts w:ascii="Cambria Math" w:hAnsi="Cambria Math" w:cs="Cambria Math"/>
          <w:sz w:val="18"/>
          <w:szCs w:val="18"/>
        </w:rPr>
        <w:t>‑</w:t>
      </w:r>
      <w:r w:rsidRPr="006C6318">
        <w:rPr>
          <w:rFonts w:asciiTheme="minorHAnsi" w:hAnsiTheme="minorHAnsi" w:cstheme="minorHAnsi"/>
          <w:sz w:val="18"/>
          <w:szCs w:val="18"/>
        </w:rPr>
        <w:t xml:space="preserve">318/21 </w:t>
      </w:r>
      <w:hyperlink r:id="rId3" w:history="1">
        <w:r w:rsidRPr="006C6318">
          <w:rPr>
            <w:rStyle w:val="Hiperpovezava"/>
            <w:rFonts w:asciiTheme="minorHAnsi" w:hAnsiTheme="minorHAnsi" w:cstheme="minorHAnsi"/>
            <w:sz w:val="18"/>
            <w:szCs w:val="18"/>
          </w:rPr>
          <w:t>https://eur-lex.europa.eu/legal-content/en/TXT/?uri=CELEX:62021CC0318</w:t>
        </w:r>
      </w:hyperlink>
      <w:r w:rsidRPr="006C6318">
        <w:rPr>
          <w:rFonts w:asciiTheme="minorHAnsi" w:hAnsiTheme="minorHAnsi" w:cstheme="minorHAnsi"/>
          <w:sz w:val="18"/>
          <w:szCs w:val="18"/>
        </w:rPr>
        <w:t xml:space="preserve"> (13. 10. 2024)</w:t>
      </w:r>
    </w:p>
  </w:footnote>
  <w:footnote w:id="4">
    <w:p w14:paraId="09CEF86F" w14:textId="77777777" w:rsidR="00D45189" w:rsidRPr="006C6318" w:rsidRDefault="00D45189" w:rsidP="006C6318">
      <w:pPr>
        <w:pStyle w:val="Sprotnaopomba-besedilo"/>
        <w:jc w:val="both"/>
        <w:rPr>
          <w:rFonts w:asciiTheme="minorHAnsi" w:hAnsiTheme="minorHAnsi" w:cstheme="minorHAnsi"/>
          <w:sz w:val="18"/>
          <w:szCs w:val="18"/>
        </w:rPr>
      </w:pPr>
      <w:r w:rsidRPr="006C6318">
        <w:rPr>
          <w:rStyle w:val="Sprotnaopomba-sklic"/>
          <w:rFonts w:asciiTheme="minorHAnsi" w:hAnsiTheme="minorHAnsi" w:cstheme="minorHAnsi"/>
          <w:sz w:val="18"/>
          <w:szCs w:val="18"/>
        </w:rPr>
        <w:footnoteRef/>
      </w:r>
      <w:r w:rsidRPr="006C6318">
        <w:rPr>
          <w:rFonts w:asciiTheme="minorHAnsi" w:hAnsiTheme="minorHAnsi" w:cstheme="minorHAnsi"/>
          <w:sz w:val="18"/>
          <w:szCs w:val="18"/>
        </w:rPr>
        <w:t xml:space="preserve"> Mnenje generalnega </w:t>
      </w:r>
      <w:proofErr w:type="spellStart"/>
      <w:r w:rsidRPr="006C6318">
        <w:rPr>
          <w:rFonts w:asciiTheme="minorHAnsi" w:hAnsiTheme="minorHAnsi" w:cstheme="minorHAnsi"/>
          <w:sz w:val="18"/>
          <w:szCs w:val="18"/>
        </w:rPr>
        <w:t>prvobranilca</w:t>
      </w:r>
      <w:proofErr w:type="spellEnd"/>
      <w:r w:rsidRPr="006C6318">
        <w:rPr>
          <w:rFonts w:asciiTheme="minorHAnsi" w:hAnsiTheme="minorHAnsi" w:cstheme="minorHAnsi"/>
          <w:sz w:val="18"/>
          <w:szCs w:val="18"/>
        </w:rPr>
        <w:t xml:space="preserve"> dostavljeno dne 28. aprila 2022 v združenih zadevah C</w:t>
      </w:r>
      <w:r w:rsidRPr="006C6318">
        <w:rPr>
          <w:rFonts w:ascii="Cambria Math" w:hAnsi="Cambria Math" w:cs="Cambria Math"/>
          <w:sz w:val="18"/>
          <w:szCs w:val="18"/>
        </w:rPr>
        <w:t>‑</w:t>
      </w:r>
      <w:r w:rsidRPr="006C6318">
        <w:rPr>
          <w:rFonts w:asciiTheme="minorHAnsi" w:hAnsiTheme="minorHAnsi" w:cstheme="minorHAnsi"/>
          <w:sz w:val="18"/>
          <w:szCs w:val="18"/>
        </w:rPr>
        <w:t>164/21 in C</w:t>
      </w:r>
      <w:r w:rsidRPr="006C6318">
        <w:rPr>
          <w:rFonts w:ascii="Cambria Math" w:hAnsi="Cambria Math" w:cs="Cambria Math"/>
          <w:sz w:val="18"/>
          <w:szCs w:val="18"/>
        </w:rPr>
        <w:t>‑</w:t>
      </w:r>
      <w:r w:rsidRPr="006C6318">
        <w:rPr>
          <w:rFonts w:asciiTheme="minorHAnsi" w:hAnsiTheme="minorHAnsi" w:cstheme="minorHAnsi"/>
          <w:sz w:val="18"/>
          <w:szCs w:val="18"/>
        </w:rPr>
        <w:t xml:space="preserve">318/21: </w:t>
      </w:r>
      <w:hyperlink r:id="rId4" w:history="1">
        <w:r w:rsidRPr="006C6318">
          <w:rPr>
            <w:rStyle w:val="Hiperpovezava"/>
            <w:rFonts w:asciiTheme="minorHAnsi" w:hAnsiTheme="minorHAnsi" w:cstheme="minorHAnsi"/>
            <w:sz w:val="18"/>
            <w:szCs w:val="18"/>
          </w:rPr>
          <w:t>https://eur-lex.europa.eu/legal-content/en/TXT/?uri=CELEX:62021CC0318</w:t>
        </w:r>
      </w:hyperlink>
      <w:r w:rsidRPr="006C6318">
        <w:rPr>
          <w:rFonts w:asciiTheme="minorHAnsi" w:hAnsiTheme="minorHAnsi" w:cstheme="minorHAnsi"/>
          <w:sz w:val="18"/>
          <w:szCs w:val="18"/>
        </w:rPr>
        <w:t xml:space="preserve"> (13. 10. 2024)</w:t>
      </w:r>
    </w:p>
  </w:footnote>
  <w:footnote w:id="5">
    <w:p w14:paraId="641D5EE3" w14:textId="77777777" w:rsidR="00D45189" w:rsidRPr="006C6318" w:rsidRDefault="00D45189" w:rsidP="006C6318">
      <w:pPr>
        <w:pStyle w:val="Sprotnaopomba-besedilo"/>
        <w:jc w:val="both"/>
        <w:rPr>
          <w:rFonts w:asciiTheme="minorHAnsi" w:hAnsiTheme="minorHAnsi" w:cstheme="minorHAnsi"/>
          <w:sz w:val="18"/>
          <w:szCs w:val="18"/>
        </w:rPr>
      </w:pPr>
      <w:r w:rsidRPr="006C6318">
        <w:rPr>
          <w:rStyle w:val="Sprotnaopomba-sklic"/>
          <w:rFonts w:asciiTheme="minorHAnsi" w:hAnsiTheme="minorHAnsi" w:cstheme="minorHAnsi"/>
          <w:sz w:val="18"/>
          <w:szCs w:val="18"/>
        </w:rPr>
        <w:footnoteRef/>
      </w:r>
      <w:r w:rsidRPr="006C6318">
        <w:rPr>
          <w:rFonts w:asciiTheme="minorHAnsi" w:hAnsiTheme="minorHAnsi" w:cstheme="minorHAnsi"/>
          <w:sz w:val="18"/>
          <w:szCs w:val="18"/>
        </w:rPr>
        <w:t xml:space="preserve"> </w:t>
      </w:r>
      <w:proofErr w:type="spellStart"/>
      <w:r w:rsidRPr="006C6318">
        <w:rPr>
          <w:rFonts w:asciiTheme="minorHAnsi" w:hAnsiTheme="minorHAnsi" w:cstheme="minorHAnsi"/>
          <w:sz w:val="18"/>
          <w:szCs w:val="18"/>
        </w:rPr>
        <w:t>Ibid</w:t>
      </w:r>
      <w:proofErr w:type="spellEnd"/>
      <w:r w:rsidRPr="006C6318">
        <w:rPr>
          <w:rFonts w:asciiTheme="minorHAnsi" w:hAnsiTheme="minorHAnsi" w:cstheme="minorHAnsi"/>
          <w:sz w:val="18"/>
          <w:szCs w:val="18"/>
        </w:rPr>
        <w:t xml:space="preserve"> - v istem dokumentu kot ostale navedbe</w:t>
      </w:r>
    </w:p>
  </w:footnote>
  <w:footnote w:id="6">
    <w:p w14:paraId="55CE1CE1" w14:textId="77777777" w:rsidR="00D45189" w:rsidRPr="006C6318" w:rsidRDefault="00D45189" w:rsidP="006C6318">
      <w:pPr>
        <w:pStyle w:val="Sprotnaopomba-besedilo"/>
        <w:jc w:val="both"/>
        <w:rPr>
          <w:rFonts w:asciiTheme="minorHAnsi" w:hAnsiTheme="minorHAnsi" w:cstheme="minorHAnsi"/>
          <w:sz w:val="18"/>
          <w:szCs w:val="18"/>
        </w:rPr>
      </w:pPr>
      <w:bookmarkStart w:id="3" w:name="_Hlk182408536"/>
      <w:r w:rsidRPr="006C6318">
        <w:rPr>
          <w:rStyle w:val="Sprotnaopomba-sklic"/>
          <w:rFonts w:asciiTheme="minorHAnsi" w:hAnsiTheme="minorHAnsi" w:cstheme="minorHAnsi"/>
          <w:sz w:val="18"/>
          <w:szCs w:val="18"/>
        </w:rPr>
        <w:footnoteRef/>
      </w:r>
      <w:r w:rsidRPr="006C6318">
        <w:rPr>
          <w:rFonts w:asciiTheme="minorHAnsi" w:hAnsiTheme="minorHAnsi" w:cstheme="minorHAnsi"/>
          <w:sz w:val="18"/>
          <w:szCs w:val="18"/>
        </w:rPr>
        <w:t xml:space="preserve"> Sporočilo Komisije, Okvir za državno pomoč za raziskave, razvoj in inovacije (2022/C 414/01), točka 15: »</w:t>
      </w:r>
      <w:r w:rsidRPr="006C6318">
        <w:rPr>
          <w:rFonts w:asciiTheme="minorHAnsi" w:hAnsiTheme="minorHAnsi" w:cstheme="minorHAnsi"/>
          <w:i/>
          <w:sz w:val="18"/>
          <w:szCs w:val="18"/>
        </w:rPr>
        <w:t>„prenos znanja“ pomeni vsak postopek, katerega cilj je pridobivanje, zbiranje in razširjanje eksplicitnega in tihega znanja, vključno s spretnostmi in kompetencami na področju gospodarskih in negospodarskih dejavnosti, kot so sodelovanje pri raziskavah, svetovanje, licenciranje, ustvarjanje odcepljenih podjetij, objave ter mobilnost raziskovalcev in drugih zaposlenih, ki sodelujejo pri teh dejavnostih. Poleg znanstvenega in tehnološkega znanja vključuje še druge vrste znanj, kot je znanje o uporabi standardov in predpisov, ki jih zajemajo, ter o pogojih okolij vsakdanjega obratovanja in metodah za organizacijske inovacije, pa tudi o upravljanju znanja, ki se nanaša na opredelitev, pridobivanje, zaščito, obrambo in izkoriščanje neopredmetenih sredstev</w:t>
      </w:r>
      <w:r w:rsidRPr="006C6318">
        <w:rPr>
          <w:rFonts w:asciiTheme="minorHAnsi" w:hAnsiTheme="minorHAnsi" w:cstheme="minorHAnsi"/>
          <w:sz w:val="18"/>
          <w:szCs w:val="18"/>
        </w:rPr>
        <w:t xml:space="preserve">«, </w:t>
      </w:r>
      <w:hyperlink r:id="rId5" w:history="1">
        <w:r w:rsidRPr="006C6318">
          <w:rPr>
            <w:rStyle w:val="Hiperpovezava"/>
            <w:rFonts w:asciiTheme="minorHAnsi" w:hAnsiTheme="minorHAnsi" w:cstheme="minorHAnsi"/>
            <w:sz w:val="18"/>
            <w:szCs w:val="18"/>
          </w:rPr>
          <w:t>https://eur-lex.europa.eu/legal-content/EN/TXT/?uri=celex%3A52022XC1028%2803%29</w:t>
        </w:r>
      </w:hyperlink>
      <w:r w:rsidRPr="006C6318">
        <w:rPr>
          <w:rFonts w:asciiTheme="minorHAnsi" w:hAnsiTheme="minorHAnsi" w:cstheme="minorHAnsi"/>
          <w:sz w:val="18"/>
          <w:szCs w:val="18"/>
        </w:rPr>
        <w:t xml:space="preserve"> (13. 10. 2024)</w:t>
      </w:r>
    </w:p>
    <w:bookmarkEnd w:id="3"/>
  </w:footnote>
  <w:footnote w:id="7">
    <w:p w14:paraId="5F36CB96" w14:textId="77777777" w:rsidR="00D45189" w:rsidRPr="006C6318" w:rsidRDefault="00D45189" w:rsidP="00D45189">
      <w:pPr>
        <w:pStyle w:val="Sprotnaopomba-besedilo"/>
        <w:rPr>
          <w:rFonts w:asciiTheme="minorHAnsi" w:hAnsiTheme="minorHAnsi" w:cstheme="minorHAnsi"/>
          <w:sz w:val="16"/>
          <w:szCs w:val="16"/>
        </w:rPr>
      </w:pPr>
      <w:r w:rsidRPr="006C6318">
        <w:rPr>
          <w:rStyle w:val="Sprotnaopomba-sklic"/>
          <w:rFonts w:asciiTheme="minorHAnsi" w:hAnsiTheme="minorHAnsi" w:cstheme="minorHAnsi"/>
          <w:sz w:val="16"/>
          <w:szCs w:val="16"/>
        </w:rPr>
        <w:footnoteRef/>
      </w:r>
      <w:r w:rsidRPr="006C6318">
        <w:rPr>
          <w:rFonts w:asciiTheme="minorHAnsi" w:hAnsiTheme="minorHAnsi" w:cstheme="minorHAnsi"/>
          <w:sz w:val="16"/>
          <w:szCs w:val="16"/>
        </w:rPr>
        <w:t xml:space="preserve"> Zakon o računovodstvu: </w:t>
      </w:r>
      <w:hyperlink r:id="rId6" w:history="1">
        <w:r w:rsidRPr="006C6318">
          <w:rPr>
            <w:rStyle w:val="Hiperpovezava"/>
            <w:rFonts w:asciiTheme="minorHAnsi" w:hAnsiTheme="minorHAnsi" w:cstheme="minorHAnsi"/>
            <w:sz w:val="16"/>
            <w:szCs w:val="16"/>
          </w:rPr>
          <w:t>https://pisrs.si/pregledPredpisa?id=ZAKO1597</w:t>
        </w:r>
      </w:hyperlink>
      <w:r w:rsidRPr="006C6318">
        <w:rPr>
          <w:rStyle w:val="Hiperpovezava"/>
          <w:rFonts w:asciiTheme="minorHAnsi" w:hAnsiTheme="minorHAnsi" w:cstheme="minorHAnsi"/>
          <w:sz w:val="16"/>
          <w:szCs w:val="16"/>
        </w:rPr>
        <w:t xml:space="preserve"> </w:t>
      </w:r>
      <w:r w:rsidRPr="006C6318">
        <w:rPr>
          <w:rFonts w:asciiTheme="minorHAnsi" w:hAnsiTheme="minorHAnsi" w:cstheme="minorHAnsi"/>
          <w:sz w:val="16"/>
          <w:szCs w:val="16"/>
        </w:rPr>
        <w:t>(13. 10. 2024)</w:t>
      </w:r>
    </w:p>
  </w:footnote>
  <w:footnote w:id="8">
    <w:p w14:paraId="542D3041" w14:textId="77777777" w:rsidR="00D45189" w:rsidRPr="006C6318" w:rsidRDefault="00D45189" w:rsidP="00D45189">
      <w:pPr>
        <w:pStyle w:val="Sprotnaopomba-besedilo"/>
        <w:rPr>
          <w:rFonts w:asciiTheme="minorHAnsi" w:hAnsiTheme="minorHAnsi" w:cstheme="minorHAnsi"/>
          <w:sz w:val="16"/>
          <w:szCs w:val="16"/>
        </w:rPr>
      </w:pPr>
      <w:r w:rsidRPr="006C6318">
        <w:rPr>
          <w:rStyle w:val="Sprotnaopomba-sklic"/>
          <w:rFonts w:asciiTheme="minorHAnsi" w:hAnsiTheme="minorHAnsi" w:cstheme="minorHAnsi"/>
          <w:sz w:val="16"/>
          <w:szCs w:val="16"/>
        </w:rPr>
        <w:footnoteRef/>
      </w:r>
      <w:r w:rsidRPr="006C6318">
        <w:rPr>
          <w:rFonts w:asciiTheme="minorHAnsi" w:hAnsiTheme="minorHAnsi" w:cstheme="minorHAnsi"/>
          <w:sz w:val="16"/>
          <w:szCs w:val="16"/>
        </w:rPr>
        <w:t xml:space="preserve"> Zakon o plačilnem prometu: </w:t>
      </w:r>
      <w:hyperlink r:id="rId7" w:history="1">
        <w:r w:rsidRPr="006C6318">
          <w:rPr>
            <w:rStyle w:val="Hiperpovezava"/>
            <w:rFonts w:asciiTheme="minorHAnsi" w:hAnsiTheme="minorHAnsi" w:cstheme="minorHAnsi"/>
            <w:sz w:val="16"/>
            <w:szCs w:val="16"/>
          </w:rPr>
          <w:t>Zakon o plačilnem prometu (ZPlaP) (PISRS)</w:t>
        </w:r>
      </w:hyperlink>
      <w:r w:rsidRPr="006C6318">
        <w:rPr>
          <w:rFonts w:asciiTheme="minorHAnsi" w:hAnsiTheme="minorHAnsi" w:cstheme="minorHAnsi"/>
          <w:sz w:val="16"/>
          <w:szCs w:val="16"/>
        </w:rPr>
        <w:t xml:space="preserve"> (13. 10. 2024)</w:t>
      </w:r>
    </w:p>
  </w:footnote>
  <w:footnote w:id="9">
    <w:p w14:paraId="64A103A1" w14:textId="7867C8F9" w:rsidR="00D45189" w:rsidRPr="006C6318" w:rsidRDefault="00D45189" w:rsidP="004A3740">
      <w:pPr>
        <w:pStyle w:val="Sprotnaopomba-besedilo"/>
        <w:jc w:val="both"/>
        <w:rPr>
          <w:rFonts w:asciiTheme="minorHAnsi" w:hAnsiTheme="minorHAnsi" w:cstheme="minorHAnsi"/>
          <w:sz w:val="16"/>
          <w:szCs w:val="16"/>
        </w:rPr>
      </w:pPr>
      <w:r w:rsidRPr="006C6318">
        <w:rPr>
          <w:rStyle w:val="Sprotnaopomba-sklic"/>
          <w:rFonts w:asciiTheme="minorHAnsi" w:hAnsiTheme="minorHAnsi" w:cstheme="minorHAnsi"/>
          <w:sz w:val="16"/>
          <w:szCs w:val="16"/>
        </w:rPr>
        <w:footnoteRef/>
      </w:r>
      <w:r w:rsidRPr="006C6318">
        <w:rPr>
          <w:rFonts w:asciiTheme="minorHAnsi" w:hAnsiTheme="minorHAnsi" w:cstheme="minorHAnsi"/>
          <w:sz w:val="16"/>
          <w:szCs w:val="16"/>
        </w:rPr>
        <w:t xml:space="preserve"> Zakon o znanstvenoraziskovalni in inovacijski dejavnosti (5. člen, </w:t>
      </w:r>
      <w:r w:rsidRPr="00107284">
        <w:rPr>
          <w:rFonts w:asciiTheme="minorHAnsi" w:hAnsiTheme="minorHAnsi" w:cstheme="minorHAnsi"/>
          <w:sz w:val="16"/>
          <w:szCs w:val="16"/>
        </w:rPr>
        <w:t xml:space="preserve">točka 15; glej še 55. člen, drugi odstavek, točka 2; 57. člen): </w:t>
      </w:r>
      <w:hyperlink r:id="rId8" w:history="1">
        <w:r w:rsidRPr="00107284">
          <w:rPr>
            <w:rStyle w:val="Hiperpovezava"/>
            <w:rFonts w:asciiTheme="minorHAnsi" w:hAnsiTheme="minorHAnsi" w:cstheme="minorHAnsi"/>
            <w:sz w:val="16"/>
            <w:szCs w:val="16"/>
          </w:rPr>
          <w:t>https://pisrs.si/pregledPredpisa?id=ZAKO7733</w:t>
        </w:r>
      </w:hyperlink>
      <w:r w:rsidRPr="00107284">
        <w:rPr>
          <w:rFonts w:asciiTheme="minorHAnsi" w:hAnsiTheme="minorHAnsi" w:cstheme="minorHAnsi"/>
          <w:sz w:val="16"/>
          <w:szCs w:val="16"/>
        </w:rPr>
        <w:t xml:space="preserve"> (13. 10. </w:t>
      </w:r>
      <w:r w:rsidRPr="00107284">
        <w:rPr>
          <w:rFonts w:asciiTheme="minorHAnsi" w:hAnsiTheme="minorHAnsi" w:cstheme="minorHAnsi"/>
          <w:sz w:val="16"/>
          <w:szCs w:val="16"/>
        </w:rPr>
        <w:t>2024</w:t>
      </w:r>
      <w:r w:rsidR="00107284">
        <w:rPr>
          <w:rFonts w:asciiTheme="minorHAnsi" w:hAnsiTheme="minorHAnsi" w:cstheme="minorHAnsi"/>
          <w:sz w:val="16"/>
          <w:szCs w:val="16"/>
        </w:rPr>
        <w:t xml:space="preserve">, </w:t>
      </w:r>
      <w:r w:rsidR="00107284" w:rsidRPr="00107284">
        <w:rPr>
          <w:rFonts w:asciiTheme="minorHAnsi" w:hAnsiTheme="minorHAnsi" w:cstheme="minorHAnsi"/>
          <w:sz w:val="16"/>
          <w:szCs w:val="16"/>
        </w:rPr>
        <w:t>Zakon o spremembah in dopolnitvah Zakona o znanstvenoraziskovalni in inovacijski dejavnosti (</w:t>
      </w:r>
      <w:proofErr w:type="spellStart"/>
      <w:r w:rsidR="00107284" w:rsidRPr="00107284">
        <w:rPr>
          <w:rFonts w:asciiTheme="minorHAnsi" w:hAnsiTheme="minorHAnsi" w:cstheme="minorHAnsi"/>
          <w:sz w:val="16"/>
          <w:szCs w:val="16"/>
        </w:rPr>
        <w:t>ZZrID</w:t>
      </w:r>
      <w:proofErr w:type="spellEnd"/>
      <w:r w:rsidR="00107284" w:rsidRPr="00107284">
        <w:rPr>
          <w:rFonts w:asciiTheme="minorHAnsi" w:hAnsiTheme="minorHAnsi" w:cstheme="minorHAnsi"/>
          <w:sz w:val="16"/>
          <w:szCs w:val="16"/>
        </w:rPr>
        <w:t xml:space="preserve">-C) </w:t>
      </w:r>
      <w:r w:rsidR="00107284">
        <w:rPr>
          <w:rFonts w:asciiTheme="minorHAnsi" w:hAnsiTheme="minorHAnsi" w:cstheme="minorHAnsi"/>
          <w:sz w:val="16"/>
          <w:szCs w:val="16"/>
        </w:rPr>
        <w:t xml:space="preserve">(2. člen): </w:t>
      </w:r>
      <w:r w:rsidR="006C3461" w:rsidRPr="00107284">
        <w:rPr>
          <w:rFonts w:asciiTheme="minorHAnsi" w:hAnsiTheme="minorHAnsi" w:cstheme="minorHAnsi"/>
          <w:sz w:val="16"/>
          <w:szCs w:val="16"/>
        </w:rPr>
        <w:t xml:space="preserve"> </w:t>
      </w:r>
      <w:hyperlink r:id="rId9" w:history="1">
        <w:r w:rsidR="006C3461" w:rsidRPr="00107284">
          <w:rPr>
            <w:rStyle w:val="Hiperpovezava"/>
            <w:rFonts w:asciiTheme="minorHAnsi" w:hAnsiTheme="minorHAnsi" w:cstheme="minorHAnsi"/>
            <w:sz w:val="16"/>
            <w:szCs w:val="16"/>
          </w:rPr>
          <w:t>https://pisrs.si/pregledPredpisa?id=ZAKO8951</w:t>
        </w:r>
      </w:hyperlink>
      <w:r w:rsidR="006C3461">
        <w:rPr>
          <w:rFonts w:asciiTheme="minorHAnsi" w:hAnsiTheme="minorHAnsi" w:cstheme="minorHAnsi"/>
          <w:sz w:val="16"/>
          <w:szCs w:val="16"/>
        </w:rPr>
        <w:t xml:space="preserve"> (6. 6. 2025)</w:t>
      </w:r>
    </w:p>
  </w:footnote>
  <w:footnote w:id="10">
    <w:p w14:paraId="10152569" w14:textId="77777777" w:rsidR="00D45189" w:rsidRPr="006C6318" w:rsidRDefault="00D45189" w:rsidP="00D45189">
      <w:pPr>
        <w:pStyle w:val="Sprotnaopomba-besedilo"/>
        <w:rPr>
          <w:rFonts w:asciiTheme="minorHAnsi" w:hAnsiTheme="minorHAnsi" w:cstheme="minorHAnsi"/>
          <w:sz w:val="16"/>
          <w:szCs w:val="16"/>
        </w:rPr>
      </w:pPr>
      <w:r w:rsidRPr="006C6318">
        <w:rPr>
          <w:rStyle w:val="Sprotnaopomba-sklic"/>
          <w:rFonts w:asciiTheme="minorHAnsi" w:hAnsiTheme="minorHAnsi" w:cstheme="minorHAnsi"/>
          <w:sz w:val="16"/>
          <w:szCs w:val="16"/>
        </w:rPr>
        <w:footnoteRef/>
      </w:r>
      <w:r w:rsidRPr="006C6318">
        <w:rPr>
          <w:rFonts w:asciiTheme="minorHAnsi" w:hAnsiTheme="minorHAnsi" w:cstheme="minorHAnsi"/>
          <w:sz w:val="16"/>
          <w:szCs w:val="16"/>
        </w:rPr>
        <w:t xml:space="preserve"> Pravilnik o vsebini in načinu vodenja evidence o izvajalcih raziskovalne in razvojne dejavnosti: </w:t>
      </w:r>
      <w:hyperlink r:id="rId10" w:history="1">
        <w:r w:rsidRPr="006C6318">
          <w:rPr>
            <w:rStyle w:val="Hiperpovezava"/>
            <w:rFonts w:asciiTheme="minorHAnsi" w:hAnsiTheme="minorHAnsi" w:cstheme="minorHAnsi"/>
            <w:sz w:val="16"/>
            <w:szCs w:val="16"/>
          </w:rPr>
          <w:t>https://www.aris-rs.si/sl/evidreg/evid/akti/prav-evidence-rrd-julij14.asp</w:t>
        </w:r>
      </w:hyperlink>
      <w:r w:rsidRPr="006C6318">
        <w:rPr>
          <w:rFonts w:asciiTheme="minorHAnsi" w:hAnsiTheme="minorHAnsi" w:cstheme="minorHAnsi"/>
          <w:sz w:val="16"/>
          <w:szCs w:val="16"/>
        </w:rPr>
        <w:t xml:space="preserve"> (13. 10. 2024)</w:t>
      </w:r>
    </w:p>
  </w:footnote>
  <w:footnote w:id="11">
    <w:p w14:paraId="1648F288" w14:textId="77777777" w:rsidR="00D45189" w:rsidRPr="006C6318" w:rsidRDefault="00D45189" w:rsidP="00D45189">
      <w:pPr>
        <w:pStyle w:val="Sprotnaopomba-besedilo"/>
        <w:rPr>
          <w:rFonts w:asciiTheme="minorHAnsi" w:hAnsiTheme="minorHAnsi" w:cstheme="minorHAnsi"/>
        </w:rPr>
      </w:pPr>
      <w:r w:rsidRPr="006C6318">
        <w:rPr>
          <w:rStyle w:val="Sprotnaopomba-sklic"/>
          <w:rFonts w:asciiTheme="minorHAnsi" w:hAnsiTheme="minorHAnsi" w:cstheme="minorHAnsi"/>
          <w:sz w:val="16"/>
          <w:szCs w:val="16"/>
        </w:rPr>
        <w:footnoteRef/>
      </w:r>
      <w:r w:rsidRPr="006C6318">
        <w:rPr>
          <w:rFonts w:asciiTheme="minorHAnsi" w:hAnsiTheme="minorHAnsi" w:cstheme="minorHAnsi"/>
          <w:sz w:val="16"/>
          <w:szCs w:val="16"/>
        </w:rPr>
        <w:t xml:space="preserve"> Zakon o zavodih: </w:t>
      </w:r>
      <w:hyperlink r:id="rId11" w:history="1">
        <w:r w:rsidRPr="006C6318">
          <w:rPr>
            <w:rStyle w:val="Hiperpovezava"/>
            <w:rFonts w:asciiTheme="minorHAnsi" w:hAnsiTheme="minorHAnsi" w:cstheme="minorHAnsi"/>
            <w:sz w:val="16"/>
            <w:szCs w:val="16"/>
          </w:rPr>
          <w:t>https://pisrs.si/pregledPredpisa?id=ZAKO10</w:t>
        </w:r>
      </w:hyperlink>
      <w:r w:rsidRPr="006C6318">
        <w:rPr>
          <w:rFonts w:asciiTheme="minorHAnsi" w:hAnsiTheme="minorHAnsi" w:cstheme="minorHAnsi"/>
          <w:sz w:val="16"/>
          <w:szCs w:val="16"/>
        </w:rPr>
        <w:t xml:space="preserve"> (13. 10. 2024)</w:t>
      </w:r>
    </w:p>
  </w:footnote>
  <w:footnote w:id="12">
    <w:p w14:paraId="078D0687" w14:textId="77777777" w:rsidR="00D45189" w:rsidRPr="006C6318" w:rsidRDefault="00D45189" w:rsidP="00D45189">
      <w:pPr>
        <w:pStyle w:val="Sprotnaopomba-besedilo"/>
        <w:rPr>
          <w:rFonts w:asciiTheme="minorHAnsi" w:hAnsiTheme="minorHAnsi" w:cstheme="minorHAnsi"/>
        </w:rPr>
      </w:pPr>
      <w:r w:rsidRPr="006C6318">
        <w:rPr>
          <w:rStyle w:val="Sprotnaopomba-sklic"/>
          <w:rFonts w:asciiTheme="minorHAnsi" w:hAnsiTheme="minorHAnsi" w:cstheme="minorHAnsi"/>
          <w:sz w:val="16"/>
          <w:szCs w:val="16"/>
        </w:rPr>
        <w:footnoteRef/>
      </w:r>
      <w:r w:rsidRPr="006C6318">
        <w:rPr>
          <w:rFonts w:asciiTheme="minorHAnsi" w:hAnsiTheme="minorHAnsi" w:cstheme="minorHAnsi"/>
          <w:sz w:val="16"/>
          <w:szCs w:val="16"/>
        </w:rPr>
        <w:t xml:space="preserve"> Zakon o visokem šolstvu: </w:t>
      </w:r>
      <w:hyperlink r:id="rId12" w:history="1">
        <w:r w:rsidRPr="006C6318">
          <w:rPr>
            <w:rStyle w:val="Hiperpovezava"/>
            <w:rFonts w:asciiTheme="minorHAnsi" w:hAnsiTheme="minorHAnsi" w:cstheme="minorHAnsi"/>
            <w:sz w:val="16"/>
            <w:szCs w:val="16"/>
          </w:rPr>
          <w:t>https://pisrs.si/pregledPredpisa?id=ZAKO172</w:t>
        </w:r>
      </w:hyperlink>
      <w:r w:rsidRPr="006C6318">
        <w:rPr>
          <w:rFonts w:asciiTheme="minorHAnsi" w:hAnsiTheme="minorHAnsi" w:cstheme="minorHAnsi"/>
          <w:sz w:val="16"/>
          <w:szCs w:val="16"/>
        </w:rPr>
        <w:t xml:space="preserve"> (13. 10. 2024)</w:t>
      </w:r>
    </w:p>
  </w:footnote>
  <w:footnote w:id="13">
    <w:p w14:paraId="48402895" w14:textId="77777777" w:rsidR="00D45189" w:rsidRPr="006C6318" w:rsidRDefault="00D45189" w:rsidP="006C6318">
      <w:pPr>
        <w:pStyle w:val="Sprotnaopomba-besedilo"/>
        <w:jc w:val="both"/>
        <w:rPr>
          <w:rFonts w:asciiTheme="minorHAnsi" w:hAnsiTheme="minorHAnsi" w:cstheme="minorHAnsi"/>
          <w:sz w:val="18"/>
          <w:szCs w:val="18"/>
        </w:rPr>
      </w:pPr>
      <w:r w:rsidRPr="006C6318">
        <w:rPr>
          <w:rStyle w:val="Sprotnaopomba-sklic"/>
          <w:rFonts w:asciiTheme="minorHAnsi" w:hAnsiTheme="minorHAnsi" w:cstheme="minorHAnsi"/>
          <w:sz w:val="18"/>
          <w:szCs w:val="18"/>
        </w:rPr>
        <w:footnoteRef/>
      </w:r>
      <w:r w:rsidRPr="006C6318">
        <w:rPr>
          <w:rFonts w:asciiTheme="minorHAnsi" w:hAnsiTheme="minorHAnsi" w:cstheme="minorHAnsi"/>
          <w:sz w:val="18"/>
          <w:szCs w:val="18"/>
        </w:rPr>
        <w:t xml:space="preserve"> Zakon o izumih z delovnega razmerja (UL 15/7). </w:t>
      </w:r>
      <w:hyperlink r:id="rId13" w:history="1">
        <w:r w:rsidRPr="006C6318">
          <w:rPr>
            <w:rStyle w:val="Hiperpovezava"/>
            <w:rFonts w:asciiTheme="minorHAnsi" w:hAnsiTheme="minorHAnsi" w:cstheme="minorHAnsi"/>
            <w:sz w:val="18"/>
            <w:szCs w:val="18"/>
          </w:rPr>
          <w:t>https://pisrs.si/pregledPredpisa?id=ZAKO361</w:t>
        </w:r>
      </w:hyperlink>
      <w:r w:rsidRPr="006C6318">
        <w:rPr>
          <w:rFonts w:asciiTheme="minorHAnsi" w:hAnsiTheme="minorHAnsi" w:cstheme="minorHAnsi"/>
          <w:sz w:val="18"/>
          <w:szCs w:val="18"/>
        </w:rPr>
        <w:t xml:space="preserve"> (17.11.2024)</w:t>
      </w:r>
    </w:p>
  </w:footnote>
  <w:footnote w:id="14">
    <w:p w14:paraId="6061B72A" w14:textId="77777777" w:rsidR="00D45189" w:rsidRDefault="00D45189" w:rsidP="006C6318">
      <w:pPr>
        <w:pStyle w:val="Sprotnaopomba-besedilo"/>
        <w:jc w:val="both"/>
      </w:pPr>
      <w:r w:rsidRPr="006C6318">
        <w:rPr>
          <w:rStyle w:val="Sprotnaopomba-sklic"/>
          <w:rFonts w:asciiTheme="minorHAnsi" w:hAnsiTheme="minorHAnsi" w:cstheme="minorHAnsi"/>
          <w:sz w:val="18"/>
          <w:szCs w:val="18"/>
        </w:rPr>
        <w:footnoteRef/>
      </w:r>
      <w:r w:rsidRPr="006C6318">
        <w:rPr>
          <w:rFonts w:asciiTheme="minorHAnsi" w:hAnsiTheme="minorHAnsi" w:cstheme="minorHAnsi"/>
          <w:sz w:val="18"/>
          <w:szCs w:val="18"/>
        </w:rPr>
        <w:t xml:space="preserve"> Sporočilo Komisije, Okvir za državno pomoč za raziskave, razvoj in inovacije (2022/C 414/01), poglavje 2.2.2, točke 28 – 31. </w:t>
      </w:r>
      <w:hyperlink r:id="rId14" w:history="1">
        <w:r w:rsidRPr="006C6318">
          <w:rPr>
            <w:rStyle w:val="Hiperpovezava"/>
            <w:rFonts w:asciiTheme="minorHAnsi" w:hAnsiTheme="minorHAnsi" w:cstheme="minorHAnsi"/>
            <w:sz w:val="18"/>
            <w:szCs w:val="18"/>
          </w:rPr>
          <w:t>https://eur-lex.europa.eu/legal-content/EN/TXT/?uri=celex%3A52022XC1028%2803%29</w:t>
        </w:r>
      </w:hyperlink>
      <w:r w:rsidRPr="006C6318">
        <w:rPr>
          <w:rFonts w:asciiTheme="minorHAnsi" w:hAnsiTheme="minorHAnsi" w:cstheme="minorHAnsi"/>
          <w:sz w:val="18"/>
          <w:szCs w:val="18"/>
        </w:rPr>
        <w:t xml:space="preserve"> (13. 10. 2024)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0173" w14:textId="77777777" w:rsidR="00AD5A2C" w:rsidRDefault="00AD5A2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536"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9"/>
      <w:gridCol w:w="2483"/>
      <w:gridCol w:w="970"/>
      <w:gridCol w:w="1208"/>
      <w:gridCol w:w="2336"/>
    </w:tblGrid>
    <w:tr w:rsidR="00881DD3" w14:paraId="75F5EEA0" w14:textId="77777777" w:rsidTr="00CF1C52">
      <w:tc>
        <w:tcPr>
          <w:tcW w:w="2539" w:type="dxa"/>
        </w:tcPr>
        <w:p w14:paraId="44A7288D" w14:textId="77777777" w:rsidR="00881DD3" w:rsidRDefault="00881DD3" w:rsidP="00881DD3">
          <w:pPr>
            <w:spacing w:before="120"/>
          </w:pPr>
          <w:r>
            <w:rPr>
              <w:noProof/>
            </w:rPr>
            <w:drawing>
              <wp:inline distT="0" distB="0" distL="0" distR="0" wp14:anchorId="76D07438" wp14:editId="3607918A">
                <wp:extent cx="1440000" cy="295200"/>
                <wp:effectExtent l="0" t="0" r="0" b="0"/>
                <wp:docPr id="431744399"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4399" name="Slika 1" descr="Slika, ki vsebuje besede besedilo, pisava, posnetek zaslona,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440000" cy="295200"/>
                        </a:xfrm>
                        <a:prstGeom prst="rect">
                          <a:avLst/>
                        </a:prstGeom>
                      </pic:spPr>
                    </pic:pic>
                  </a:graphicData>
                </a:graphic>
              </wp:inline>
            </w:drawing>
          </w:r>
          <w:r>
            <w:rPr>
              <w:noProof/>
            </w:rPr>
            <w:t xml:space="preserve"> </w:t>
          </w:r>
        </w:p>
      </w:tc>
      <w:tc>
        <w:tcPr>
          <w:tcW w:w="2483" w:type="dxa"/>
        </w:tcPr>
        <w:p w14:paraId="5BCB71FA" w14:textId="77777777" w:rsidR="00881DD3" w:rsidRDefault="00881DD3" w:rsidP="00881DD3">
          <w:pPr>
            <w:spacing w:before="160"/>
          </w:pPr>
          <w:r>
            <w:rPr>
              <w:noProof/>
            </w:rPr>
            <w:drawing>
              <wp:inline distT="0" distB="0" distL="0" distR="0" wp14:anchorId="5B672516" wp14:editId="1F06A18C">
                <wp:extent cx="1440000" cy="262800"/>
                <wp:effectExtent l="0" t="0" r="0" b="4445"/>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2">
                          <a:extLst>
                            <a:ext uri="{28A0092B-C50C-407E-A947-70E740481C1C}">
                              <a14:useLocalDpi xmlns:a14="http://schemas.microsoft.com/office/drawing/2010/main" val="0"/>
                            </a:ext>
                          </a:extLst>
                        </a:blip>
                        <a:stretch>
                          <a:fillRect/>
                        </a:stretch>
                      </pic:blipFill>
                      <pic:spPr>
                        <a:xfrm>
                          <a:off x="0" y="0"/>
                          <a:ext cx="1440000" cy="262800"/>
                        </a:xfrm>
                        <a:prstGeom prst="rect">
                          <a:avLst/>
                        </a:prstGeom>
                      </pic:spPr>
                    </pic:pic>
                  </a:graphicData>
                </a:graphic>
              </wp:inline>
            </w:drawing>
          </w:r>
        </w:p>
      </w:tc>
      <w:tc>
        <w:tcPr>
          <w:tcW w:w="970" w:type="dxa"/>
        </w:tcPr>
        <w:p w14:paraId="26E06BF9" w14:textId="77777777" w:rsidR="00881DD3" w:rsidRDefault="00881DD3" w:rsidP="00881DD3"/>
      </w:tc>
      <w:tc>
        <w:tcPr>
          <w:tcW w:w="1208" w:type="dxa"/>
        </w:tcPr>
        <w:p w14:paraId="0A9AF55E" w14:textId="77777777" w:rsidR="00881DD3" w:rsidRDefault="00881DD3" w:rsidP="00881DD3">
          <w:pPr>
            <w:spacing w:before="20"/>
          </w:pPr>
          <w:r>
            <w:rPr>
              <w:noProof/>
            </w:rPr>
            <w:drawing>
              <wp:inline distT="0" distB="0" distL="0" distR="0" wp14:anchorId="5C70488E" wp14:editId="5A9C617A">
                <wp:extent cx="673200" cy="360000"/>
                <wp:effectExtent l="0" t="0" r="0" b="254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673200" cy="360000"/>
                        </a:xfrm>
                        <a:prstGeom prst="rect">
                          <a:avLst/>
                        </a:prstGeom>
                      </pic:spPr>
                    </pic:pic>
                  </a:graphicData>
                </a:graphic>
              </wp:inline>
            </w:drawing>
          </w:r>
        </w:p>
      </w:tc>
      <w:tc>
        <w:tcPr>
          <w:tcW w:w="2336" w:type="dxa"/>
        </w:tcPr>
        <w:p w14:paraId="75C3DCAE" w14:textId="77777777" w:rsidR="00881DD3" w:rsidRDefault="00881DD3" w:rsidP="00881DD3">
          <w:pPr>
            <w:spacing w:before="20"/>
          </w:pPr>
          <w:r>
            <w:rPr>
              <w:noProof/>
            </w:rPr>
            <w:drawing>
              <wp:inline distT="0" distB="0" distL="0" distR="0" wp14:anchorId="3C5462C2" wp14:editId="0C5D735D">
                <wp:extent cx="1356995" cy="359410"/>
                <wp:effectExtent l="0" t="0" r="0" b="254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1359223" cy="360000"/>
                        </a:xfrm>
                        <a:prstGeom prst="rect">
                          <a:avLst/>
                        </a:prstGeom>
                      </pic:spPr>
                    </pic:pic>
                  </a:graphicData>
                </a:graphic>
              </wp:inline>
            </w:drawing>
          </w:r>
        </w:p>
      </w:tc>
    </w:tr>
  </w:tbl>
  <w:p w14:paraId="638D06EF" w14:textId="7EE1DF1C" w:rsidR="00580424" w:rsidRPr="00AD5A2C" w:rsidRDefault="00580424" w:rsidP="00AD5A2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8358" w14:textId="77777777" w:rsidR="00AD5A2C" w:rsidRDefault="00AD5A2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276"/>
    <w:multiLevelType w:val="hybridMultilevel"/>
    <w:tmpl w:val="218411DA"/>
    <w:lvl w:ilvl="0" w:tplc="2AF67FE0">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217712D4"/>
    <w:multiLevelType w:val="hybridMultilevel"/>
    <w:tmpl w:val="232809A6"/>
    <w:lvl w:ilvl="0" w:tplc="3446D446">
      <w:start w:val="1"/>
      <w:numFmt w:val="bullet"/>
      <w:lvlText w:val="-"/>
      <w:lvlJc w:val="left"/>
      <w:pPr>
        <w:ind w:left="720" w:hanging="360"/>
      </w:pPr>
      <w:rPr>
        <w:rFonts w:ascii="Microsoft Sans Serif" w:eastAsia="Microsoft Sans Serif" w:hAnsi="Microsoft Sans Serif" w:cs="Microsoft Sans Serif"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2E5533AD"/>
    <w:multiLevelType w:val="hybridMultilevel"/>
    <w:tmpl w:val="55C4AAEE"/>
    <w:lvl w:ilvl="0" w:tplc="3446D446">
      <w:start w:val="1"/>
      <w:numFmt w:val="bullet"/>
      <w:lvlText w:val="-"/>
      <w:lvlJc w:val="left"/>
      <w:pPr>
        <w:ind w:left="720" w:hanging="360"/>
      </w:pPr>
      <w:rPr>
        <w:rFonts w:ascii="Microsoft Sans Serif" w:eastAsia="Microsoft Sans Serif" w:hAnsi="Microsoft Sans Serif" w:cs="Microsoft Sans Serif"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307E088E"/>
    <w:multiLevelType w:val="hybridMultilevel"/>
    <w:tmpl w:val="E32458C6"/>
    <w:lvl w:ilvl="0" w:tplc="A5147C8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26062511">
    <w:abstractNumId w:val="2"/>
  </w:num>
  <w:num w:numId="2" w16cid:durableId="1093208151">
    <w:abstractNumId w:val="1"/>
  </w:num>
  <w:num w:numId="3" w16cid:durableId="610358115">
    <w:abstractNumId w:val="3"/>
  </w:num>
  <w:num w:numId="4" w16cid:durableId="911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24"/>
    <w:rsid w:val="00107284"/>
    <w:rsid w:val="00161BE8"/>
    <w:rsid w:val="001E299E"/>
    <w:rsid w:val="00496DB4"/>
    <w:rsid w:val="004A3740"/>
    <w:rsid w:val="005165BF"/>
    <w:rsid w:val="00527125"/>
    <w:rsid w:val="00580424"/>
    <w:rsid w:val="006C3461"/>
    <w:rsid w:val="006C6318"/>
    <w:rsid w:val="00881DD3"/>
    <w:rsid w:val="008B6970"/>
    <w:rsid w:val="00915081"/>
    <w:rsid w:val="00924F03"/>
    <w:rsid w:val="00A9148C"/>
    <w:rsid w:val="00AA311D"/>
    <w:rsid w:val="00AD5A2C"/>
    <w:rsid w:val="00B6355A"/>
    <w:rsid w:val="00BD2485"/>
    <w:rsid w:val="00CB3594"/>
    <w:rsid w:val="00CD009B"/>
    <w:rsid w:val="00D45189"/>
    <w:rsid w:val="00D52DB6"/>
    <w:rsid w:val="00D837AD"/>
    <w:rsid w:val="00DE0A22"/>
    <w:rsid w:val="00E2312D"/>
    <w:rsid w:val="00EA5367"/>
    <w:rsid w:val="00F82181"/>
    <w:rsid w:val="00FB00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3176"/>
  <w15:chartTrackingRefBased/>
  <w15:docId w15:val="{F6DA0E3F-9598-4FC6-A70C-D8AD45B6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5189"/>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qFormat/>
    <w:rsid w:val="00580424"/>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qFormat/>
    <w:rsid w:val="00580424"/>
    <w:rPr>
      <w:rFonts w:ascii="Times New Roman" w:eastAsia="Times New Roman" w:hAnsi="Times New Roman" w:cs="Times New Roman"/>
      <w:sz w:val="20"/>
      <w:szCs w:val="20"/>
      <w:lang w:eastAsia="sl-SI"/>
    </w:rPr>
  </w:style>
  <w:style w:type="character" w:styleId="Sprotnaopomba-sklic">
    <w:name w:val="footnote reference"/>
    <w:aliases w:val="Footnote symbol, Znak,Footnote reference number,note TESI,SUPERS,EN Footnote Reference,Footnote,Fussnota,Znak,-E Fußnotenzeichen,Times 10 Point,Exposant 3 Point,E...,nota de rodapé,Footnote Reference_LVL6,Footnote Reference_LVL61"/>
    <w:basedOn w:val="Privzetapisavaodstavka"/>
    <w:link w:val="FootnotesymbolCarZchn"/>
    <w:uiPriority w:val="99"/>
    <w:rsid w:val="00580424"/>
    <w:rPr>
      <w:vertAlign w:val="superscript"/>
    </w:rPr>
  </w:style>
  <w:style w:type="paragraph" w:styleId="Pripombabesedilo">
    <w:name w:val="annotation text"/>
    <w:aliases w:val="Komentar - besedilo,Komentar - besedilo1, Znak9,Znak9"/>
    <w:basedOn w:val="Navaden"/>
    <w:link w:val="PripombabesediloZnak"/>
    <w:uiPriority w:val="99"/>
    <w:rsid w:val="00580424"/>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580424"/>
    <w:rPr>
      <w:rFonts w:ascii="Times New Roman" w:eastAsia="Times New Roman" w:hAnsi="Times New Roman" w:cs="Times New Roman"/>
      <w:sz w:val="20"/>
      <w:szCs w:val="20"/>
      <w:lang w:eastAsia="sl-SI"/>
    </w:rPr>
  </w:style>
  <w:style w:type="character" w:styleId="Pripombasklic">
    <w:name w:val="annotation reference"/>
    <w:aliases w:val="Komentar - sklic,Komentar - sklic1"/>
    <w:basedOn w:val="Privzetapisavaodstavka"/>
    <w:uiPriority w:val="99"/>
    <w:unhideWhenUsed/>
    <w:rsid w:val="00580424"/>
    <w:rPr>
      <w:sz w:val="16"/>
      <w:szCs w:val="16"/>
    </w:rPr>
  </w:style>
  <w:style w:type="character" w:styleId="Hiperpovezava">
    <w:name w:val="Hyperlink"/>
    <w:uiPriority w:val="99"/>
    <w:rsid w:val="00580424"/>
    <w:rPr>
      <w:color w:val="0000FF"/>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580424"/>
    <w:pPr>
      <w:spacing w:before="60" w:line="240" w:lineRule="exact"/>
      <w:ind w:left="357" w:hanging="357"/>
      <w:jc w:val="both"/>
    </w:pPr>
    <w:rPr>
      <w:vertAlign w:val="superscript"/>
    </w:rPr>
  </w:style>
  <w:style w:type="paragraph" w:styleId="Besedilooblaka">
    <w:name w:val="Balloon Text"/>
    <w:basedOn w:val="Navaden"/>
    <w:link w:val="BesedilooblakaZnak"/>
    <w:uiPriority w:val="99"/>
    <w:semiHidden/>
    <w:unhideWhenUsed/>
    <w:rsid w:val="0058042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80424"/>
    <w:rPr>
      <w:rFonts w:ascii="Segoe UI" w:hAnsi="Segoe UI" w:cs="Segoe UI"/>
      <w:sz w:val="18"/>
      <w:szCs w:val="18"/>
    </w:rPr>
  </w:style>
  <w:style w:type="paragraph" w:styleId="Glava">
    <w:name w:val="header"/>
    <w:basedOn w:val="Navaden"/>
    <w:link w:val="GlavaZnak"/>
    <w:unhideWhenUsed/>
    <w:rsid w:val="00580424"/>
    <w:pPr>
      <w:tabs>
        <w:tab w:val="center" w:pos="4536"/>
        <w:tab w:val="right" w:pos="9072"/>
      </w:tabs>
    </w:pPr>
  </w:style>
  <w:style w:type="character" w:customStyle="1" w:styleId="GlavaZnak">
    <w:name w:val="Glava Znak"/>
    <w:basedOn w:val="Privzetapisavaodstavka"/>
    <w:link w:val="Glava"/>
    <w:rsid w:val="00580424"/>
  </w:style>
  <w:style w:type="paragraph" w:styleId="Noga">
    <w:name w:val="footer"/>
    <w:basedOn w:val="Navaden"/>
    <w:link w:val="NogaZnak"/>
    <w:uiPriority w:val="99"/>
    <w:unhideWhenUsed/>
    <w:rsid w:val="00580424"/>
    <w:pPr>
      <w:tabs>
        <w:tab w:val="center" w:pos="4536"/>
        <w:tab w:val="right" w:pos="9072"/>
      </w:tabs>
    </w:pPr>
  </w:style>
  <w:style w:type="character" w:customStyle="1" w:styleId="NogaZnak">
    <w:name w:val="Noga Znak"/>
    <w:basedOn w:val="Privzetapisavaodstavka"/>
    <w:link w:val="Noga"/>
    <w:uiPriority w:val="99"/>
    <w:rsid w:val="00580424"/>
  </w:style>
  <w:style w:type="table" w:styleId="Tabelamrea">
    <w:name w:val="Table Grid"/>
    <w:basedOn w:val="Navadnatabela"/>
    <w:uiPriority w:val="39"/>
    <w:rsid w:val="00881DD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161BE8"/>
    <w:pPr>
      <w:spacing w:after="0" w:line="240" w:lineRule="auto"/>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6C3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is.cobiss.net/ecris/si/s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jpes.s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akvis.si/akreditacije-in-evalvacije-v-visokem-solstvu/javne-evidenc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pisrs.si/pregledPredpisa?id=ZAKO7733" TargetMode="External"/><Relationship Id="rId13" Type="http://schemas.openxmlformats.org/officeDocument/2006/relationships/hyperlink" Target="https://pisrs.si/pregledPredpisa?id=ZAKO361" TargetMode="External"/><Relationship Id="rId3" Type="http://schemas.openxmlformats.org/officeDocument/2006/relationships/hyperlink" Target="https://eur-lex.europa.eu/legal-content/en/TXT/?uri=CELEX:62021CC0318" TargetMode="External"/><Relationship Id="rId7" Type="http://schemas.openxmlformats.org/officeDocument/2006/relationships/hyperlink" Target="https://pisrs.si/pregledPredpisa?id=ZAKO2205" TargetMode="External"/><Relationship Id="rId12" Type="http://schemas.openxmlformats.org/officeDocument/2006/relationships/hyperlink" Target="https://pisrs.si/pregledPredpisa?id=ZAKO172" TargetMode="External"/><Relationship Id="rId2" Type="http://schemas.openxmlformats.org/officeDocument/2006/relationships/hyperlink" Target="https://eur-lex.europa.eu/legal-content/EN/TXT/?uri=CELEX%3A62021CJ0164" TargetMode="External"/><Relationship Id="rId1" Type="http://schemas.openxmlformats.org/officeDocument/2006/relationships/hyperlink" Target="https://eur-lex.europa.eu/legal-content/SL/TXT/HTML/?uri=CELEX:02014R0651-20230701" TargetMode="External"/><Relationship Id="rId6" Type="http://schemas.openxmlformats.org/officeDocument/2006/relationships/hyperlink" Target="https://pisrs.si/pregledPredpisa?id=ZAKO1597" TargetMode="External"/><Relationship Id="rId11" Type="http://schemas.openxmlformats.org/officeDocument/2006/relationships/hyperlink" Target="https://pisrs.si/pregledPredpisa?id=ZAKO10" TargetMode="External"/><Relationship Id="rId5" Type="http://schemas.openxmlformats.org/officeDocument/2006/relationships/hyperlink" Target="https://eur-lex.europa.eu/legal-content/EN/TXT/?uri=celex%3A52022XC1028%2803%29" TargetMode="External"/><Relationship Id="rId10" Type="http://schemas.openxmlformats.org/officeDocument/2006/relationships/hyperlink" Target="https://www.aris-rs.si/sl/evidreg/evid/akti/prav-evidence-rrd-julij14.asp" TargetMode="External"/><Relationship Id="rId4" Type="http://schemas.openxmlformats.org/officeDocument/2006/relationships/hyperlink" Target="https://eur-lex.europa.eu/legal-content/en/TXT/?uri=CELEX:62021CC0318" TargetMode="External"/><Relationship Id="rId9" Type="http://schemas.openxmlformats.org/officeDocument/2006/relationships/hyperlink" Target="https://pisrs.si/pregledPredpisa?id=ZAKO8951" TargetMode="External"/><Relationship Id="rId14" Type="http://schemas.openxmlformats.org/officeDocument/2006/relationships/hyperlink" Target="https://eur-lex.europa.eu/legal-content/EN/TXT/?uri=celex%3A52022XC1028%2803%29"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2961</Words>
  <Characters>16878</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 Jager Pia</dc:creator>
  <cp:keywords/>
  <dc:description/>
  <cp:lastModifiedBy>Podboj Bohinc Ana</cp:lastModifiedBy>
  <cp:revision>2</cp:revision>
  <dcterms:created xsi:type="dcterms:W3CDTF">2025-06-12T05:02:00Z</dcterms:created>
  <dcterms:modified xsi:type="dcterms:W3CDTF">2025-06-12T05:02:00Z</dcterms:modified>
</cp:coreProperties>
</file>