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467F71" w:rsidRDefault="00E17DA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E17DAF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</w:t>
      </w:r>
      <w:proofErr w:type="spellStart"/>
      <w:r w:rsidRPr="00E17DAF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Pr="00E17DAF">
        <w:rPr>
          <w:rFonts w:cs="Arial"/>
          <w:b/>
          <w:bCs/>
          <w:sz w:val="32"/>
          <w:szCs w:val="32"/>
          <w:lang w:eastAsia="sl-SI"/>
        </w:rPr>
        <w:t xml:space="preserve">, kjer </w:t>
      </w:r>
      <w:r w:rsidR="009C6306">
        <w:rPr>
          <w:rFonts w:cs="Arial"/>
          <w:b/>
          <w:bCs/>
          <w:sz w:val="32"/>
          <w:szCs w:val="32"/>
          <w:lang w:eastAsia="sl-SI"/>
        </w:rPr>
        <w:t xml:space="preserve">_______ </w:t>
      </w:r>
      <w:r w:rsidR="009C6306">
        <w:rPr>
          <w:rStyle w:val="Sprotnaopomba-sklic"/>
          <w:rFonts w:cs="Arial"/>
          <w:b/>
          <w:bCs/>
          <w:sz w:val="32"/>
          <w:szCs w:val="32"/>
          <w:lang w:eastAsia="sl-SI"/>
        </w:rPr>
        <w:footnoteReference w:id="1"/>
      </w:r>
      <w:r w:rsidRPr="00E17DAF">
        <w:rPr>
          <w:rFonts w:cs="Arial"/>
          <w:b/>
          <w:bCs/>
          <w:sz w:val="32"/>
          <w:szCs w:val="32"/>
          <w:lang w:eastAsia="sl-SI"/>
        </w:rPr>
        <w:t>deluje v vlogi vodilne agencije</w:t>
      </w:r>
    </w:p>
    <w:p w:rsidR="00E17DAF" w:rsidRPr="001852BC" w:rsidRDefault="00E17DAF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286F27">
        <w:rPr>
          <w:rFonts w:cs="Arial"/>
        </w:rPr>
      </w:r>
      <w:r w:rsidR="00286F2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27" w:rsidRDefault="00286F27">
      <w:r>
        <w:separator/>
      </w:r>
    </w:p>
  </w:endnote>
  <w:endnote w:type="continuationSeparator" w:id="0">
    <w:p w:rsidR="00286F27" w:rsidRDefault="0028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98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</w:t>
    </w:r>
    <w:r w:rsidR="00C650DD">
      <w:rPr>
        <w:sz w:val="18"/>
        <w:szCs w:val="18"/>
      </w:rPr>
      <w:t>2023</w:t>
    </w:r>
  </w:p>
  <w:p w:rsidR="00AB6926" w:rsidRPr="00774F71" w:rsidRDefault="00AB6926" w:rsidP="00AB6926">
    <w:pPr>
      <w:pStyle w:val="Noga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27" w:rsidRDefault="00286F27">
      <w:r>
        <w:separator/>
      </w:r>
    </w:p>
  </w:footnote>
  <w:footnote w:type="continuationSeparator" w:id="0">
    <w:p w:rsidR="00286F27" w:rsidRDefault="00286F27">
      <w:r>
        <w:continuationSeparator/>
      </w:r>
    </w:p>
  </w:footnote>
  <w:footnote w:id="1">
    <w:p w:rsidR="009C6306" w:rsidRDefault="009C6306">
      <w:pPr>
        <w:pStyle w:val="Sprotnaopomba-besedilo"/>
      </w:pPr>
      <w:r>
        <w:rPr>
          <w:rStyle w:val="Sprotnaopomba-sklic"/>
        </w:rPr>
        <w:footnoteRef/>
      </w:r>
      <w:r>
        <w:t xml:space="preserve"> Navedite akronim agencije</w:t>
      </w:r>
      <w:r w:rsidR="00C135B6">
        <w:t>,</w:t>
      </w:r>
      <w:r>
        <w:t xml:space="preserve"> za katero oddajate prijavo (</w:t>
      </w:r>
      <w:proofErr w:type="spellStart"/>
      <w:r>
        <w:t>npr</w:t>
      </w:r>
      <w:proofErr w:type="spellEnd"/>
      <w:r>
        <w:t>.:FWF)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A11DD"/>
    <w:rsid w:val="000C0884"/>
    <w:rsid w:val="000C4946"/>
    <w:rsid w:val="000D3957"/>
    <w:rsid w:val="000D53F2"/>
    <w:rsid w:val="000D6078"/>
    <w:rsid w:val="000E6AB9"/>
    <w:rsid w:val="000F24D9"/>
    <w:rsid w:val="000F4250"/>
    <w:rsid w:val="00104477"/>
    <w:rsid w:val="00106A5B"/>
    <w:rsid w:val="001C7F3E"/>
    <w:rsid w:val="001F026C"/>
    <w:rsid w:val="001F2A43"/>
    <w:rsid w:val="001F67C2"/>
    <w:rsid w:val="0023690C"/>
    <w:rsid w:val="00246F11"/>
    <w:rsid w:val="00266873"/>
    <w:rsid w:val="0028107D"/>
    <w:rsid w:val="00286F27"/>
    <w:rsid w:val="003920B2"/>
    <w:rsid w:val="00393D2A"/>
    <w:rsid w:val="003B2DC5"/>
    <w:rsid w:val="003C696D"/>
    <w:rsid w:val="003D72D4"/>
    <w:rsid w:val="004274D3"/>
    <w:rsid w:val="0045247D"/>
    <w:rsid w:val="00467F71"/>
    <w:rsid w:val="00483AA3"/>
    <w:rsid w:val="005116F7"/>
    <w:rsid w:val="00517A2A"/>
    <w:rsid w:val="005817E1"/>
    <w:rsid w:val="005C0BBB"/>
    <w:rsid w:val="006847C9"/>
    <w:rsid w:val="006A3C54"/>
    <w:rsid w:val="006A7EA6"/>
    <w:rsid w:val="006B4F31"/>
    <w:rsid w:val="00700A05"/>
    <w:rsid w:val="00736096"/>
    <w:rsid w:val="007453CD"/>
    <w:rsid w:val="00852249"/>
    <w:rsid w:val="008661E8"/>
    <w:rsid w:val="008E243E"/>
    <w:rsid w:val="008E79A7"/>
    <w:rsid w:val="009410BD"/>
    <w:rsid w:val="00970044"/>
    <w:rsid w:val="00971F1F"/>
    <w:rsid w:val="009B3355"/>
    <w:rsid w:val="009C587D"/>
    <w:rsid w:val="009C6306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C135B6"/>
    <w:rsid w:val="00C36786"/>
    <w:rsid w:val="00C650DD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17DAF"/>
    <w:rsid w:val="00E40F36"/>
    <w:rsid w:val="00E54052"/>
    <w:rsid w:val="00E73A7E"/>
    <w:rsid w:val="00EE140D"/>
    <w:rsid w:val="00F0243B"/>
    <w:rsid w:val="00F33CB5"/>
    <w:rsid w:val="00F917B1"/>
    <w:rsid w:val="00F972BE"/>
    <w:rsid w:val="00FA6F9B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98D67-611E-4A9F-A299-945EDBE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07B5-39C9-4FFC-AA66-7B37EC1E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Mojca Boc</dc:creator>
  <cp:lastModifiedBy>Grošelj Nevenka</cp:lastModifiedBy>
  <cp:revision>2</cp:revision>
  <cp:lastPrinted>2017-11-22T06:47:00Z</cp:lastPrinted>
  <dcterms:created xsi:type="dcterms:W3CDTF">2023-02-03T11:29:00Z</dcterms:created>
  <dcterms:modified xsi:type="dcterms:W3CDTF">2023-02-03T11:29:00Z</dcterms:modified>
</cp:coreProperties>
</file>