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40" w:rsidRPr="00C21E40" w:rsidRDefault="00C21E40" w:rsidP="00C21E40">
      <w:pPr>
        <w:spacing w:after="210"/>
        <w:rPr>
          <w:rFonts w:ascii="Calibri" w:hAnsi="Calibri" w:cs="Calibri"/>
          <w:b/>
          <w:szCs w:val="22"/>
        </w:rPr>
      </w:pPr>
      <w:r w:rsidRPr="00C320BC">
        <w:rPr>
          <w:rFonts w:ascii="Calibri" w:hAnsi="Calibri" w:cs="Calibri"/>
          <w:b/>
          <w:szCs w:val="22"/>
        </w:rPr>
        <w:t>Obrazložitev</w:t>
      </w:r>
      <w:r>
        <w:rPr>
          <w:rFonts w:ascii="Calibri" w:hAnsi="Calibri" w:cs="Calibri"/>
          <w:b/>
          <w:szCs w:val="22"/>
        </w:rPr>
        <w:t xml:space="preserve"> Splošnega akta o spremembah in dopolnitvah </w:t>
      </w:r>
      <w:r w:rsidRPr="00C21E40">
        <w:rPr>
          <w:rFonts w:ascii="Calibri" w:eastAsia="Calibri" w:hAnsi="Calibri"/>
          <w:b/>
          <w:szCs w:val="22"/>
        </w:rPr>
        <w:t>Splošnega akta o postopkih (so)financiranja in ocenjevanja ter spremljanju izvajanja znanstvenoraziskovalne dejavnosti</w:t>
      </w:r>
      <w:bookmarkStart w:id="0" w:name="_GoBack"/>
      <w:bookmarkEnd w:id="0"/>
    </w:p>
    <w:p w:rsidR="00C21E40" w:rsidRDefault="00C21E40" w:rsidP="00C21E40">
      <w:pPr>
        <w:shd w:val="clear" w:color="auto" w:fill="FFFFFF"/>
        <w:outlineLvl w:val="2"/>
        <w:rPr>
          <w:rFonts w:ascii="Calibri" w:eastAsia="Calibri" w:hAnsi="Calibri"/>
          <w:szCs w:val="22"/>
        </w:rPr>
      </w:pPr>
      <w:r>
        <w:rPr>
          <w:rFonts w:ascii="Calibri" w:hAnsi="Calibri" w:cs="Calibri"/>
          <w:bCs/>
          <w:szCs w:val="22"/>
        </w:rPr>
        <w:t xml:space="preserve">S </w:t>
      </w:r>
      <w:r>
        <w:rPr>
          <w:rFonts w:ascii="Calibri" w:hAnsi="Calibri" w:cs="Calibri"/>
          <w:bCs/>
          <w:szCs w:val="22"/>
        </w:rPr>
        <w:t>s</w:t>
      </w:r>
      <w:r>
        <w:rPr>
          <w:rFonts w:ascii="Calibri" w:hAnsi="Calibri" w:cs="Calibri"/>
          <w:bCs/>
          <w:szCs w:val="22"/>
        </w:rPr>
        <w:t>premembami in dopolnitvami</w:t>
      </w:r>
      <w:r w:rsidRPr="00C320BC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eastAsia="Calibri" w:hAnsi="Calibri"/>
          <w:szCs w:val="22"/>
        </w:rPr>
        <w:t xml:space="preserve">Splošnega akta o </w:t>
      </w:r>
      <w:r w:rsidRPr="002F488E">
        <w:rPr>
          <w:rFonts w:ascii="Calibri" w:eastAsia="Calibri" w:hAnsi="Calibri"/>
          <w:szCs w:val="22"/>
        </w:rPr>
        <w:t xml:space="preserve">postopkih (so)financiranja in ocenjevanja ter spremljanju izvajanja </w:t>
      </w:r>
      <w:r>
        <w:rPr>
          <w:rFonts w:ascii="Calibri" w:eastAsia="Calibri" w:hAnsi="Calibri"/>
          <w:szCs w:val="22"/>
        </w:rPr>
        <w:t>znanstveno</w:t>
      </w:r>
      <w:r w:rsidRPr="002F488E">
        <w:rPr>
          <w:rFonts w:ascii="Calibri" w:eastAsia="Calibri" w:hAnsi="Calibri"/>
          <w:szCs w:val="22"/>
        </w:rPr>
        <w:t xml:space="preserve">raziskovalne dejavnosti (Uradni list RS, št. </w:t>
      </w:r>
      <w:r>
        <w:rPr>
          <w:rFonts w:ascii="Calibri" w:eastAsia="Calibri" w:hAnsi="Calibri"/>
          <w:szCs w:val="22"/>
        </w:rPr>
        <w:t>166/22</w:t>
      </w:r>
      <w:r w:rsidRPr="002F488E">
        <w:rPr>
          <w:rFonts w:ascii="Calibri" w:eastAsia="Calibri" w:hAnsi="Calibri"/>
          <w:szCs w:val="22"/>
        </w:rPr>
        <w:t>)</w:t>
      </w:r>
      <w:r>
        <w:rPr>
          <w:rFonts w:ascii="Calibri" w:eastAsia="Calibri" w:hAnsi="Calibri"/>
          <w:szCs w:val="22"/>
        </w:rPr>
        <w:t xml:space="preserve"> </w:t>
      </w:r>
      <w:bookmarkStart w:id="1" w:name="_Hlk152254317"/>
      <w:r>
        <w:rPr>
          <w:rFonts w:ascii="Calibri" w:eastAsia="Calibri" w:hAnsi="Calibri"/>
          <w:szCs w:val="22"/>
        </w:rPr>
        <w:t xml:space="preserve">se spreminja ureditev podaljšanja obdobja, ki opredeljuje karierne stopnje raziskovalcev. </w:t>
      </w:r>
    </w:p>
    <w:p w:rsidR="00C21E40" w:rsidRDefault="00C21E40" w:rsidP="00C21E40">
      <w:pPr>
        <w:shd w:val="clear" w:color="auto" w:fill="FFFFFF"/>
        <w:outlineLvl w:val="2"/>
        <w:rPr>
          <w:rFonts w:ascii="Calibri" w:eastAsia="Calibri" w:hAnsi="Calibri"/>
          <w:szCs w:val="22"/>
        </w:rPr>
      </w:pPr>
    </w:p>
    <w:p w:rsidR="00C21E40" w:rsidRDefault="00C21E40" w:rsidP="00C21E40">
      <w:pPr>
        <w:shd w:val="clear" w:color="auto" w:fill="FFFFFF"/>
        <w:outlineLvl w:val="2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Spremembe predlagamo zaradi ocene o neustrezni ureditvi obravnave časa izrabljenega starševskega dopusta pri določanju kariernih stopenj, ki razlikuje med raziskovalci ženskega in moškega spola, poleg tega pa v navedeno  ni vključena karierna stopnja srednje generacije raziskovalcev. Različno je obravnavana tudi 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odsotnost zaradi bolezni ali poškodb oziroma drugih primerov odsotnosti, določenih v predpisih o zdravstvenem zavarovanju.</w:t>
      </w:r>
    </w:p>
    <w:p w:rsidR="00C21E40" w:rsidRDefault="00C21E40" w:rsidP="00C21E40">
      <w:pPr>
        <w:shd w:val="clear" w:color="auto" w:fill="FFFFFF"/>
        <w:outlineLvl w:val="2"/>
        <w:rPr>
          <w:rFonts w:asciiTheme="minorHAnsi" w:hAnsiTheme="minorHAnsi" w:cstheme="minorHAnsi"/>
          <w:color w:val="000000"/>
          <w:szCs w:val="22"/>
        </w:rPr>
      </w:pPr>
    </w:p>
    <w:p w:rsidR="00C21E40" w:rsidRDefault="00C21E40" w:rsidP="00C21E40">
      <w:pPr>
        <w:shd w:val="clear" w:color="auto" w:fill="FFFFFF"/>
        <w:outlineLvl w:val="2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Z namenom zagotovite enakopravne obravnave vseh raziskovalcev predlagamo, da se pri določitvi podaljšanega obdobja za določitev karierne stopnje za vse raziskovalce upošteva, da se v primeru, če je raziskovalec 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izkoristil dopust iz naslova zavarovanja za starševsko varstvo, čas po letu zagovora za vsakega otroka podaljša za leto in pol. Čas po letu zagovora se za vse raziskovalce podaljša tudi v primeru dokumentirane odsotnosti zaradi bolezni ali poškodb oziroma drugih primerov odsotnosti, določenih v predpisih o zdravstvenem zavarovanju, če gre za neprekinjeno odsotnost, daljšo od šestih mesecev, in sicer največ za čas upravičene odsotnosti. </w:t>
      </w:r>
    </w:p>
    <w:bookmarkEnd w:id="1"/>
    <w:p w:rsidR="00C21E40" w:rsidRDefault="00C21E40" w:rsidP="00C21E40">
      <w:pPr>
        <w:shd w:val="clear" w:color="auto" w:fill="FFFFFF"/>
        <w:outlineLvl w:val="2"/>
        <w:rPr>
          <w:rFonts w:asciiTheme="minorHAnsi" w:hAnsiTheme="minorHAnsi" w:cstheme="minorHAnsi"/>
          <w:color w:val="000000"/>
          <w:szCs w:val="22"/>
        </w:rPr>
      </w:pPr>
    </w:p>
    <w:p w:rsidR="00C21E40" w:rsidRDefault="00C21E40" w:rsidP="00C21E40">
      <w:pPr>
        <w:shd w:val="clear" w:color="auto" w:fill="FFFFFF"/>
        <w:outlineLvl w:val="2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2"/>
        </w:rPr>
        <w:t>V 2. členu se z</w:t>
      </w:r>
      <w:r w:rsidRPr="004C32B8">
        <w:rPr>
          <w:rFonts w:asciiTheme="minorHAnsi" w:hAnsiTheme="minorHAnsi" w:cstheme="minorHAnsi"/>
          <w:color w:val="000000"/>
          <w:szCs w:val="22"/>
        </w:rPr>
        <w:t xml:space="preserve"> namenom zagotovite enakopravne obravnave vs</w:t>
      </w:r>
      <w:r>
        <w:rPr>
          <w:rFonts w:asciiTheme="minorHAnsi" w:hAnsiTheme="minorHAnsi" w:cstheme="minorHAnsi"/>
          <w:color w:val="000000"/>
          <w:szCs w:val="22"/>
        </w:rPr>
        <w:t>eh</w:t>
      </w:r>
      <w:r w:rsidRPr="004C32B8">
        <w:rPr>
          <w:rFonts w:asciiTheme="minorHAnsi" w:hAnsiTheme="minorHAnsi" w:cstheme="minorHAnsi"/>
          <w:color w:val="000000"/>
          <w:szCs w:val="22"/>
        </w:rPr>
        <w:t xml:space="preserve"> raziskovalcev pri določitvi podaljšanega obdobja za določitev karierne stopnje za vse raziskovalce upošteva</w:t>
      </w:r>
      <w:r>
        <w:rPr>
          <w:rFonts w:asciiTheme="minorHAnsi" w:hAnsiTheme="minorHAnsi" w:cstheme="minorHAnsi"/>
          <w:color w:val="000000"/>
          <w:szCs w:val="22"/>
        </w:rPr>
        <w:t>,</w:t>
      </w:r>
      <w:r w:rsidRPr="004C32B8">
        <w:rPr>
          <w:rFonts w:asciiTheme="minorHAnsi" w:hAnsiTheme="minorHAnsi" w:cstheme="minorHAnsi"/>
          <w:color w:val="000000"/>
          <w:szCs w:val="22"/>
        </w:rPr>
        <w:t xml:space="preserve"> da se v primeru, če je raziskovalec </w:t>
      </w:r>
      <w:r w:rsidRPr="004C32B8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izkoristil dopust iz naslova zavarovanja za starševsko varstvo, čas po letu zagovora 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prvega doktorata </w:t>
      </w:r>
      <w:r w:rsidRPr="004C32B8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za vsakega otroka podaljša za leto in pol. Čas po letu zagovora 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prvega doktorata </w:t>
      </w:r>
      <w:r w:rsidRPr="004C32B8">
        <w:rPr>
          <w:rFonts w:asciiTheme="minorHAnsi" w:hAnsiTheme="minorHAnsi" w:cstheme="minorHAnsi"/>
          <w:color w:val="000000"/>
          <w:szCs w:val="22"/>
          <w:shd w:val="clear" w:color="auto" w:fill="FFFFFF"/>
        </w:rPr>
        <w:t>se za vse raziskovalce podaljša tudi v primeru dokumentirane odsotnosti zaradi bolezni ali poškodb oziroma drugih primerov odsotnosti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raziskovalca</w:t>
      </w:r>
      <w:r w:rsidRPr="004C32B8">
        <w:rPr>
          <w:rFonts w:asciiTheme="minorHAnsi" w:hAnsiTheme="minorHAnsi" w:cstheme="minorHAnsi"/>
          <w:color w:val="000000"/>
          <w:szCs w:val="22"/>
          <w:shd w:val="clear" w:color="auto" w:fill="FFFFFF"/>
        </w:rPr>
        <w:t>, določenih v predpisih o zdravstvenem zavarovanju, če gre za neprekinjeno odsotnost, daljšo od šestih mesecev, in sicer največ za čas upravičene odsotnosti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.</w:t>
      </w:r>
    </w:p>
    <w:p w:rsidR="00C21E40" w:rsidRDefault="00C21E40" w:rsidP="00C21E40">
      <w:pPr>
        <w:shd w:val="clear" w:color="auto" w:fill="FFFFFF"/>
        <w:outlineLvl w:val="2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</w:p>
    <w:p w:rsidR="00C21E40" w:rsidRDefault="00C21E40" w:rsidP="00C21E40">
      <w:pPr>
        <w:shd w:val="clear" w:color="auto" w:fill="FFFFFF"/>
        <w:outlineLvl w:val="2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1., 3. in 4. člen pomenijo uskladitev s spremembo v 2. členu.  </w:t>
      </w:r>
    </w:p>
    <w:p w:rsidR="00C21E40" w:rsidRDefault="00C21E40" w:rsidP="00C21E40">
      <w:pPr>
        <w:shd w:val="clear" w:color="auto" w:fill="FFFFFF"/>
        <w:outlineLvl w:val="2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4C32B8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</w:t>
      </w:r>
    </w:p>
    <w:p w:rsidR="00C21E40" w:rsidRDefault="00C21E40" w:rsidP="00C21E40">
      <w:pPr>
        <w:rPr>
          <w:rFonts w:ascii="Calibri" w:hAnsi="Calibri"/>
          <w:szCs w:val="22"/>
        </w:rPr>
      </w:pPr>
      <w:r w:rsidRPr="00101F92">
        <w:rPr>
          <w:rFonts w:ascii="Calibri" w:hAnsi="Calibri" w:cs="Calibri"/>
          <w:bCs/>
          <w:color w:val="000000"/>
        </w:rPr>
        <w:t xml:space="preserve">6. člen </w:t>
      </w:r>
      <w:r>
        <w:rPr>
          <w:rFonts w:ascii="Calibri" w:hAnsi="Calibri" w:cs="Calibri"/>
          <w:bCs/>
          <w:color w:val="000000"/>
        </w:rPr>
        <w:t xml:space="preserve">določa </w:t>
      </w:r>
      <w:r w:rsidRPr="00101F92">
        <w:rPr>
          <w:rFonts w:ascii="Calibri" w:hAnsi="Calibri" w:cs="Calibri"/>
          <w:bCs/>
          <w:color w:val="000000"/>
        </w:rPr>
        <w:t xml:space="preserve">kratek </w:t>
      </w:r>
      <w:proofErr w:type="spellStart"/>
      <w:r w:rsidRPr="00101F92">
        <w:rPr>
          <w:rFonts w:ascii="Calibri" w:hAnsi="Calibri" w:cs="Calibri"/>
          <w:bCs/>
          <w:color w:val="000000"/>
        </w:rPr>
        <w:t>vacat</w:t>
      </w:r>
      <w:r w:rsidRPr="00101F92">
        <w:rPr>
          <w:rFonts w:ascii="Calibri" w:hAnsi="Calibri"/>
          <w:szCs w:val="22"/>
        </w:rPr>
        <w:t>io</w:t>
      </w:r>
      <w:proofErr w:type="spellEnd"/>
      <w:r w:rsidRPr="00101F92">
        <w:rPr>
          <w:rFonts w:ascii="Calibri" w:hAnsi="Calibri"/>
          <w:szCs w:val="22"/>
        </w:rPr>
        <w:t xml:space="preserve"> </w:t>
      </w:r>
      <w:proofErr w:type="spellStart"/>
      <w:r w:rsidRPr="00101F92">
        <w:rPr>
          <w:rFonts w:ascii="Calibri" w:hAnsi="Calibri"/>
          <w:szCs w:val="22"/>
        </w:rPr>
        <w:t>legis</w:t>
      </w:r>
      <w:proofErr w:type="spellEnd"/>
      <w:r w:rsidRPr="00101F92">
        <w:rPr>
          <w:rFonts w:ascii="Calibri" w:hAnsi="Calibri"/>
          <w:szCs w:val="22"/>
        </w:rPr>
        <w:t xml:space="preserve"> splošnega</w:t>
      </w:r>
      <w:r>
        <w:rPr>
          <w:rFonts w:ascii="Calibri" w:hAnsi="Calibri"/>
          <w:szCs w:val="22"/>
        </w:rPr>
        <w:t xml:space="preserve"> akta (naslednji dan po objavi v Uradnem listu Republike Slovenije) zaradi nujnosti, da se zagotovi njegova uporaba že v potekajočem </w:t>
      </w:r>
      <w:r>
        <w:rPr>
          <w:rFonts w:ascii="Calibri" w:eastAsia="Calibri" w:hAnsi="Calibri"/>
          <w:szCs w:val="22"/>
        </w:rPr>
        <w:t>Javnem razpisu za (so)financiranje raziskovalnih projektov za leto 2024, kot to določa 5. člen.</w:t>
      </w:r>
    </w:p>
    <w:p w:rsidR="00C21E40" w:rsidRDefault="00C21E40" w:rsidP="00C21E40">
      <w:pPr>
        <w:rPr>
          <w:rFonts w:ascii="Calibri" w:hAnsi="Calibri"/>
          <w:szCs w:val="22"/>
        </w:rPr>
      </w:pPr>
    </w:p>
    <w:p w:rsidR="007E6124" w:rsidRDefault="007E6124"/>
    <w:sectPr w:rsidR="007E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40"/>
    <w:rsid w:val="007E6124"/>
    <w:rsid w:val="00C2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6A77"/>
  <w15:chartTrackingRefBased/>
  <w15:docId w15:val="{6410C2AE-6F9A-4FCF-AB4F-62F44CB7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C21E4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Hren Katarina</dc:creator>
  <cp:keywords/>
  <dc:description/>
  <cp:lastModifiedBy>Hren Katarina</cp:lastModifiedBy>
  <cp:revision>1</cp:revision>
  <dcterms:created xsi:type="dcterms:W3CDTF">2023-12-06T10:15:00Z</dcterms:created>
  <dcterms:modified xsi:type="dcterms:W3CDTF">2023-12-06T10:17:00Z</dcterms:modified>
</cp:coreProperties>
</file>